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360" w:lineRule="auto"/>
        <w:jc w:val="center"/>
        <w:rPr>
          <w:rFonts w:ascii="黑体" w:hAnsi="黑体" w:eastAsia="黑体"/>
          <w:bCs/>
          <w:sz w:val="36"/>
          <w:szCs w:val="36"/>
        </w:rPr>
      </w:pPr>
      <w:bookmarkStart w:id="1" w:name="_GoBack"/>
      <w:r>
        <w:rPr>
          <w:rFonts w:hint="eastAsia" w:ascii="黑体" w:hAnsi="黑体" w:eastAsia="黑体"/>
          <w:bCs/>
          <w:sz w:val="36"/>
          <w:szCs w:val="36"/>
        </w:rPr>
        <w:t>第二部分 2021年部门预算表</w:t>
      </w:r>
    </w:p>
    <w:bookmarkEnd w:id="1"/>
    <w:p>
      <w:pPr>
        <w:rPr>
          <w:rFonts w:ascii="宋体" w:hAnsi="宋体" w:cs="宋体"/>
          <w:kern w:val="0"/>
          <w:sz w:val="20"/>
          <w:szCs w:val="20"/>
        </w:rPr>
      </w:pPr>
      <w:r>
        <w:rPr>
          <w:rFonts w:hint="eastAsia" w:ascii="宋体" w:hAnsi="宋体" w:cs="宋体"/>
          <w:kern w:val="0"/>
          <w:sz w:val="20"/>
          <w:szCs w:val="20"/>
        </w:rPr>
        <w:t xml:space="preserve">                                                                部门公开表1</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w:t>
      </w:r>
      <w:r>
        <w:rPr>
          <w:rFonts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rPr>
        <w:t>宿松县工商联2021年收支总表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460" w:type="dxa"/>
        <w:tblInd w:w="93" w:type="dxa"/>
        <w:tblLayout w:type="fixed"/>
        <w:tblCellMar>
          <w:top w:w="0" w:type="dxa"/>
          <w:left w:w="108" w:type="dxa"/>
          <w:bottom w:w="0" w:type="dxa"/>
          <w:right w:w="108" w:type="dxa"/>
        </w:tblCellMar>
      </w:tblPr>
      <w:tblGrid>
        <w:gridCol w:w="3422"/>
        <w:gridCol w:w="998"/>
        <w:gridCol w:w="3184"/>
        <w:gridCol w:w="856"/>
      </w:tblGrid>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 xml:space="preserve">          收            入             </w:t>
            </w:r>
          </w:p>
        </w:tc>
        <w:tc>
          <w:tcPr>
            <w:tcW w:w="40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          出</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收 入 项 目</w:t>
            </w:r>
          </w:p>
        </w:tc>
        <w:tc>
          <w:tcPr>
            <w:tcW w:w="998"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预算数</w:t>
            </w:r>
          </w:p>
        </w:tc>
        <w:tc>
          <w:tcPr>
            <w:tcW w:w="3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支出功能分类科目</w:t>
            </w:r>
          </w:p>
        </w:tc>
        <w:tc>
          <w:tcPr>
            <w:tcW w:w="856"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预算数</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一、一般公共预算拨款收入</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kern w:val="0"/>
                <w:sz w:val="22"/>
              </w:rPr>
              <w:t>90.45</w:t>
            </w: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kern w:val="0"/>
                <w:sz w:val="22"/>
              </w:rPr>
              <w:t>90.45</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hint="eastAsia" w:ascii="宋体" w:hAnsi="宋体" w:eastAsia="宋体" w:cs="宋体"/>
                <w:color w:val="000000" w:themeColor="text1"/>
                <w:kern w:val="0"/>
                <w:sz w:val="20"/>
                <w:szCs w:val="20"/>
                <w14:textFill>
                  <w14:solidFill>
                    <w14:schemeClr w14:val="tx1"/>
                  </w14:solidFill>
                </w14:textFill>
              </w:rPr>
              <w:t xml:space="preserve">  其中：上级转移支付收入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二、政府性基金预算拨款收入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其中：上级转移支付收入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三、国有资本经营预算拨款收入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其中：上级转移支付收入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四、财政专户管理资金收入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五、单位资金收入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其中：事业收入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事业单位经营收入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上级补助收入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附属单位上缴收入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其他收入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二十二、预备费</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二十四、转移性支出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收  入  小  计</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kern w:val="0"/>
                <w:sz w:val="22"/>
              </w:rPr>
              <w:t>90.45</w:t>
            </w: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支  出  小  计</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kern w:val="0"/>
                <w:sz w:val="22"/>
              </w:rPr>
              <w:t>90.45</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上年结转结余</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年终结转结余</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   入   总   计</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kern w:val="0"/>
                <w:sz w:val="22"/>
              </w:rPr>
              <w:t>90.45</w:t>
            </w: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　出  总　计</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kern w:val="0"/>
                <w:sz w:val="22"/>
              </w:rPr>
              <w:t>90.45</w:t>
            </w:r>
            <w:r>
              <w:rPr>
                <w:rFonts w:hint="eastAsia" w:ascii="宋体" w:hAnsi="宋体" w:eastAsia="宋体" w:cs="宋体"/>
                <w:kern w:val="0"/>
                <w:sz w:val="20"/>
                <w:szCs w:val="20"/>
              </w:rPr>
              <w:t>　</w:t>
            </w:r>
          </w:p>
        </w:tc>
      </w:tr>
    </w:tbl>
    <w:p>
      <w:pPr>
        <w:rPr>
          <w:rFonts w:ascii="宋体" w:hAnsi="宋体" w:cs="宋体"/>
          <w:kern w:val="0"/>
          <w:sz w:val="20"/>
          <w:szCs w:val="20"/>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cs="宋体"/>
          <w:kern w:val="0"/>
          <w:sz w:val="20"/>
          <w:szCs w:val="20"/>
        </w:rPr>
      </w:pPr>
      <w:r>
        <w:rPr>
          <w:rFonts w:hint="eastAsia" w:ascii="宋体" w:hAnsi="宋体" w:cs="宋体"/>
          <w:kern w:val="0"/>
          <w:sz w:val="20"/>
          <w:szCs w:val="20"/>
        </w:rPr>
        <w:t xml:space="preserve">                                                                                                                    部门公开表2</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宿松县工商联2021年收入总表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14020" w:type="dxa"/>
        <w:tblInd w:w="100" w:type="dxa"/>
        <w:tblLayout w:type="fixed"/>
        <w:tblCellMar>
          <w:top w:w="0" w:type="dxa"/>
          <w:left w:w="108" w:type="dxa"/>
          <w:bottom w:w="0" w:type="dxa"/>
          <w:right w:w="108" w:type="dxa"/>
        </w:tblCellMar>
      </w:tblPr>
      <w:tblGrid>
        <w:gridCol w:w="1790"/>
        <w:gridCol w:w="885"/>
        <w:gridCol w:w="825"/>
        <w:gridCol w:w="840"/>
        <w:gridCol w:w="450"/>
        <w:gridCol w:w="390"/>
        <w:gridCol w:w="680"/>
        <w:gridCol w:w="680"/>
        <w:gridCol w:w="68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420" w:hRule="atLeast"/>
        </w:trPr>
        <w:tc>
          <w:tcPr>
            <w:tcW w:w="17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部门（单位）名称</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7265"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40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上年结转结余</w:t>
            </w:r>
          </w:p>
        </w:tc>
      </w:tr>
      <w:tr>
        <w:tblPrEx>
          <w:tblCellMar>
            <w:top w:w="0" w:type="dxa"/>
            <w:left w:w="108" w:type="dxa"/>
            <w:bottom w:w="0" w:type="dxa"/>
            <w:right w:w="108" w:type="dxa"/>
          </w:tblCellMar>
        </w:tblPrEx>
        <w:trPr>
          <w:trHeight w:val="420" w:hRule="atLeast"/>
        </w:trPr>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0"/>
                <w:szCs w:val="20"/>
              </w:rPr>
            </w:pPr>
          </w:p>
        </w:tc>
        <w:tc>
          <w:tcPr>
            <w:tcW w:w="82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8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45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39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408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r>
      <w:tr>
        <w:tblPrEx>
          <w:tblCellMar>
            <w:top w:w="0" w:type="dxa"/>
            <w:left w:w="108" w:type="dxa"/>
            <w:bottom w:w="0" w:type="dxa"/>
            <w:right w:w="108" w:type="dxa"/>
          </w:tblCellMar>
        </w:tblPrEx>
        <w:trPr>
          <w:trHeight w:val="825" w:hRule="atLeast"/>
        </w:trPr>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2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45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     收入</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事业单位经营收入</w:t>
            </w:r>
          </w:p>
        </w:tc>
        <w:tc>
          <w:tcPr>
            <w:tcW w:w="6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6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6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其他   收入</w:t>
            </w: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7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工商联部门</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c>
          <w:tcPr>
            <w:tcW w:w="84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7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工商联部门本级</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7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7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7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7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7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7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7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rFonts w:ascii="宋体" w:hAnsi="宋体" w:cs="宋体"/>
          <w:kern w:val="0"/>
          <w:sz w:val="20"/>
          <w:szCs w:val="20"/>
        </w:rPr>
      </w:pPr>
    </w:p>
    <w:p>
      <w:pPr>
        <w:sectPr>
          <w:pgSz w:w="16838" w:h="11906" w:orient="landscape"/>
          <w:pgMar w:top="1797" w:right="1440" w:bottom="1797" w:left="1440" w:header="851" w:footer="992" w:gutter="0"/>
          <w:cols w:space="425" w:num="1"/>
          <w:docGrid w:type="linesAndChars" w:linePitch="312" w:charSpace="0"/>
        </w:sectPr>
      </w:pPr>
    </w:p>
    <w:p>
      <w:pPr>
        <w:rPr>
          <w:rFonts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 xml:space="preserve"> 部门公开表3</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宿松县工商联2021年支出总表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931" w:type="dxa"/>
        <w:tblInd w:w="-34" w:type="dxa"/>
        <w:tblLayout w:type="fixed"/>
        <w:tblCellMar>
          <w:top w:w="0" w:type="dxa"/>
          <w:left w:w="108" w:type="dxa"/>
          <w:bottom w:w="0" w:type="dxa"/>
          <w:right w:w="108" w:type="dxa"/>
        </w:tblCellMar>
      </w:tblPr>
      <w:tblGrid>
        <w:gridCol w:w="1135"/>
        <w:gridCol w:w="1984"/>
        <w:gridCol w:w="992"/>
        <w:gridCol w:w="851"/>
        <w:gridCol w:w="850"/>
        <w:gridCol w:w="1134"/>
        <w:gridCol w:w="993"/>
        <w:gridCol w:w="992"/>
      </w:tblGrid>
      <w:tr>
        <w:tblPrEx>
          <w:tblCellMar>
            <w:top w:w="0" w:type="dxa"/>
            <w:left w:w="108" w:type="dxa"/>
            <w:bottom w:w="0" w:type="dxa"/>
            <w:right w:w="108" w:type="dxa"/>
          </w:tblCellMar>
        </w:tblPrEx>
        <w:trPr>
          <w:trHeight w:val="69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事业单位经营支出</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上缴上级支出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对附属单位补助支出</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22"/>
              </w:rPr>
            </w:pPr>
            <w:r>
              <w:rPr>
                <w:rFonts w:hint="eastAsia" w:ascii="宋体" w:hAnsi="宋体"/>
                <w:kern w:val="0"/>
                <w:sz w:val="22"/>
              </w:rPr>
              <w:t xml:space="preserve"> 20128</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22"/>
              </w:rPr>
            </w:pPr>
            <w:r>
              <w:rPr>
                <w:rFonts w:hint="eastAsia" w:ascii="宋体" w:hAnsi="宋体"/>
                <w:kern w:val="0"/>
                <w:sz w:val="22"/>
              </w:rPr>
              <w:t>民主党派及工商联事务</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22"/>
              </w:rPr>
            </w:pPr>
            <w:r>
              <w:rPr>
                <w:rFonts w:hint="eastAsia" w:ascii="宋体" w:hAnsi="宋体"/>
                <w:kern w:val="0"/>
                <w:sz w:val="22"/>
              </w:rPr>
              <w:t xml:space="preserve"> </w:t>
            </w:r>
            <w:r>
              <w:rPr>
                <w:rFonts w:ascii="宋体" w:hAnsi="宋体"/>
                <w:kern w:val="0"/>
                <w:sz w:val="22"/>
              </w:rPr>
              <w:t>2</w:t>
            </w:r>
            <w:r>
              <w:rPr>
                <w:rFonts w:hint="eastAsia" w:ascii="宋体" w:hAnsi="宋体"/>
                <w:kern w:val="0"/>
                <w:sz w:val="22"/>
              </w:rPr>
              <w:t>012801</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22"/>
              </w:rPr>
            </w:pPr>
            <w:r>
              <w:rPr>
                <w:rFonts w:hint="eastAsia" w:ascii="宋体" w:hAnsi="宋体"/>
                <w:kern w:val="0"/>
                <w:sz w:val="22"/>
              </w:rPr>
              <w:t> </w:t>
            </w:r>
            <w:r>
              <w:rPr>
                <w:rFonts w:ascii="宋体" w:hAnsi="宋体"/>
                <w:kern w:val="0"/>
                <w:sz w:val="22"/>
              </w:rPr>
              <w:t xml:space="preserve"> </w:t>
            </w:r>
            <w:r>
              <w:rPr>
                <w:rFonts w:hint="eastAsia" w:ascii="宋体" w:hAnsi="宋体"/>
                <w:kern w:val="0"/>
                <w:sz w:val="22"/>
              </w:rPr>
              <w:t>行政运行</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
    <w:p/>
    <w:p/>
    <w:p/>
    <w:p/>
    <w:p/>
    <w:p/>
    <w:p/>
    <w:p/>
    <w:p/>
    <w:p/>
    <w:p/>
    <w:p/>
    <w:p/>
    <w:p/>
    <w:p/>
    <w:p/>
    <w:p/>
    <w:p/>
    <w:p/>
    <w:p>
      <w:pPr>
        <w:rPr>
          <w:rFonts w:ascii="宋体" w:hAnsi="宋体" w:cs="宋体"/>
          <w:kern w:val="0"/>
          <w:sz w:val="20"/>
          <w:szCs w:val="20"/>
        </w:rPr>
      </w:pPr>
      <w:r>
        <w:rPr>
          <w:rFonts w:hint="eastAsia" w:ascii="宋体" w:hAnsi="宋体" w:cs="宋体"/>
          <w:kern w:val="0"/>
          <w:sz w:val="20"/>
          <w:szCs w:val="20"/>
        </w:rPr>
        <w:t xml:space="preserve">                                                               部门公开表4</w:t>
      </w:r>
    </w:p>
    <w:p>
      <w:pPr>
        <w:widowControl/>
        <w:ind w:firstLine="1441" w:firstLineChars="450"/>
        <w:rPr>
          <w:rFonts w:ascii="华文中宋" w:hAnsi="华文中宋" w:eastAsia="华文中宋" w:cs="宋体"/>
          <w:b/>
          <w:bCs/>
          <w:kern w:val="0"/>
          <w:sz w:val="30"/>
          <w:szCs w:val="30"/>
        </w:rPr>
      </w:pPr>
      <w:r>
        <w:rPr>
          <w:rFonts w:hint="eastAsia" w:ascii="华文中宋" w:hAnsi="华文中宋" w:eastAsia="华文中宋" w:cs="宋体"/>
          <w:b/>
          <w:bCs/>
          <w:kern w:val="0"/>
          <w:sz w:val="32"/>
          <w:szCs w:val="32"/>
        </w:rPr>
        <w:t>宿松县工商联</w:t>
      </w:r>
      <w:r>
        <w:rPr>
          <w:rFonts w:hint="eastAsia" w:ascii="华文中宋" w:hAnsi="华文中宋" w:eastAsia="华文中宋" w:cs="宋体"/>
          <w:b/>
          <w:bCs/>
          <w:kern w:val="0"/>
          <w:sz w:val="30"/>
          <w:szCs w:val="30"/>
        </w:rPr>
        <w:t>2021年财政拨款收支总表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340" w:type="dxa"/>
        <w:tblInd w:w="93" w:type="dxa"/>
        <w:tblLayout w:type="fixed"/>
        <w:tblCellMar>
          <w:top w:w="0" w:type="dxa"/>
          <w:left w:w="108" w:type="dxa"/>
          <w:bottom w:w="0" w:type="dxa"/>
          <w:right w:w="108" w:type="dxa"/>
        </w:tblCellMar>
      </w:tblPr>
      <w:tblGrid>
        <w:gridCol w:w="2718"/>
        <w:gridCol w:w="1059"/>
        <w:gridCol w:w="3468"/>
        <w:gridCol w:w="1095"/>
      </w:tblGrid>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45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3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一、本年收入</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二、上年结转</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（二十二）预备费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（二十四）转移性支出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二、年终结转结余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收    入    总    计</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    出    总    计</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kern w:val="0"/>
                <w:sz w:val="22"/>
              </w:rPr>
              <w:t>90.45</w:t>
            </w:r>
            <w:r>
              <w:rPr>
                <w:rFonts w:hint="eastAsia" w:ascii="宋体" w:hAnsi="宋体" w:eastAsia="宋体" w:cs="宋体"/>
                <w:color w:val="000000"/>
                <w:kern w:val="0"/>
                <w:sz w:val="20"/>
                <w:szCs w:val="20"/>
              </w:rPr>
              <w:t>　</w:t>
            </w:r>
          </w:p>
        </w:tc>
      </w:tr>
    </w:tbl>
    <w:p>
      <w:pPr>
        <w:ind w:firstLine="6300" w:firstLineChars="3150"/>
        <w:rPr>
          <w:rFonts w:ascii="宋体" w:hAnsi="宋体" w:cs="宋体"/>
          <w:kern w:val="0"/>
          <w:sz w:val="20"/>
          <w:szCs w:val="20"/>
        </w:rPr>
      </w:pPr>
    </w:p>
    <w:p>
      <w:pPr>
        <w:rPr>
          <w:rFonts w:ascii="宋体" w:hAnsi="宋体" w:cs="宋体"/>
          <w:kern w:val="0"/>
          <w:sz w:val="20"/>
          <w:szCs w:val="20"/>
        </w:rPr>
      </w:pPr>
    </w:p>
    <w:p>
      <w:pPr>
        <w:ind w:firstLine="6900" w:firstLineChars="3450"/>
        <w:rPr>
          <w:rFonts w:ascii="宋体" w:hAnsi="宋体" w:cs="宋体"/>
          <w:kern w:val="0"/>
          <w:sz w:val="20"/>
          <w:szCs w:val="20"/>
        </w:rPr>
      </w:pPr>
      <w:r>
        <w:rPr>
          <w:rFonts w:hint="eastAsia" w:ascii="宋体" w:hAnsi="宋体" w:cs="宋体"/>
          <w:kern w:val="0"/>
          <w:sz w:val="20"/>
          <w:szCs w:val="20"/>
        </w:rPr>
        <w:t>部门开表5</w:t>
      </w:r>
    </w:p>
    <w:p>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32"/>
          <w:szCs w:val="32"/>
        </w:rPr>
        <w:t xml:space="preserve">   宿松县工商联</w:t>
      </w:r>
      <w:r>
        <w:rPr>
          <w:rFonts w:hint="eastAsia" w:ascii="华文中宋" w:hAnsi="华文中宋" w:eastAsia="华文中宋" w:cs="宋体"/>
          <w:b/>
          <w:bCs/>
          <w:kern w:val="0"/>
          <w:sz w:val="28"/>
          <w:szCs w:val="28"/>
        </w:rPr>
        <w:t>2021年一般公共预算支出表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9080" w:type="dxa"/>
        <w:tblInd w:w="100" w:type="dxa"/>
        <w:tblLayout w:type="fixed"/>
        <w:tblCellMar>
          <w:top w:w="0" w:type="dxa"/>
          <w:left w:w="108" w:type="dxa"/>
          <w:bottom w:w="0" w:type="dxa"/>
          <w:right w:w="108" w:type="dxa"/>
        </w:tblCellMar>
      </w:tblPr>
      <w:tblGrid>
        <w:gridCol w:w="1231"/>
        <w:gridCol w:w="2225"/>
        <w:gridCol w:w="1124"/>
        <w:gridCol w:w="1125"/>
        <w:gridCol w:w="1125"/>
        <w:gridCol w:w="1125"/>
        <w:gridCol w:w="1125"/>
      </w:tblGrid>
      <w:tr>
        <w:tblPrEx>
          <w:tblCellMar>
            <w:top w:w="0" w:type="dxa"/>
            <w:left w:w="108" w:type="dxa"/>
            <w:bottom w:w="0" w:type="dxa"/>
            <w:right w:w="108" w:type="dxa"/>
          </w:tblCellMar>
        </w:tblPrEx>
        <w:trPr>
          <w:trHeight w:val="360" w:hRule="atLeast"/>
        </w:trPr>
        <w:tc>
          <w:tcPr>
            <w:tcW w:w="1231"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2225"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1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33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125"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123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22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11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人员经费</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公用经费</w:t>
            </w:r>
          </w:p>
        </w:tc>
        <w:tc>
          <w:tcPr>
            <w:tcW w:w="11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22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49.80</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40.65　</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22"/>
              </w:rPr>
            </w:pPr>
            <w:r>
              <w:rPr>
                <w:rFonts w:hint="eastAsia" w:ascii="宋体" w:hAnsi="宋体"/>
                <w:kern w:val="0"/>
                <w:sz w:val="22"/>
              </w:rPr>
              <w:t xml:space="preserve"> 20128</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22"/>
              </w:rPr>
            </w:pPr>
            <w:r>
              <w:rPr>
                <w:rFonts w:hint="eastAsia" w:ascii="宋体" w:hAnsi="宋体"/>
                <w:kern w:val="0"/>
                <w:sz w:val="22"/>
              </w:rPr>
              <w:t> 民主党派及工商联事务</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49.80</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40.65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w:t>
            </w:r>
            <w:r>
              <w:rPr>
                <w:rFonts w:ascii="宋体" w:hAnsi="宋体" w:eastAsia="宋体" w:cs="宋体"/>
                <w:color w:val="000000"/>
                <w:kern w:val="0"/>
                <w:sz w:val="22"/>
              </w:rPr>
              <w:t>28</w:t>
            </w:r>
            <w:r>
              <w:rPr>
                <w:rFonts w:hint="eastAsia" w:ascii="宋体" w:hAnsi="宋体" w:eastAsia="宋体" w:cs="宋体"/>
                <w:color w:val="000000"/>
                <w:kern w:val="0"/>
                <w:sz w:val="22"/>
              </w:rPr>
              <w:t>01</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行政运行</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49.80</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40.65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kern w:val="0"/>
                <w:sz w:val="22"/>
              </w:rPr>
              <w:t>90.45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49.80</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40.65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1231" w:type="dxa"/>
          </w:tcPr>
          <w:p>
            <w:pPr>
              <w:widowControl/>
              <w:jc w:val="left"/>
              <w:rPr>
                <w:rFonts w:ascii="宋体" w:hAnsi="宋体" w:eastAsia="宋体" w:cs="宋体"/>
                <w:b/>
                <w:bCs/>
                <w:color w:val="000000"/>
                <w:kern w:val="0"/>
                <w:sz w:val="22"/>
              </w:rPr>
            </w:pPr>
          </w:p>
        </w:tc>
        <w:tc>
          <w:tcPr>
            <w:tcW w:w="2225" w:type="dxa"/>
          </w:tcPr>
          <w:p>
            <w:pPr>
              <w:widowControl/>
              <w:jc w:val="left"/>
              <w:rPr>
                <w:rFonts w:ascii="宋体" w:hAnsi="宋体" w:eastAsia="宋体" w:cs="宋体"/>
                <w:b/>
                <w:bCs/>
                <w:color w:val="000000"/>
                <w:kern w:val="0"/>
                <w:sz w:val="22"/>
              </w:rPr>
            </w:pPr>
          </w:p>
        </w:tc>
        <w:tc>
          <w:tcPr>
            <w:tcW w:w="1124" w:type="dxa"/>
            <w:vAlign w:val="center"/>
          </w:tcPr>
          <w:p>
            <w:pPr>
              <w:widowControl/>
              <w:jc w:val="left"/>
              <w:rPr>
                <w:rFonts w:ascii="宋体" w:hAnsi="宋体" w:eastAsia="宋体" w:cs="宋体"/>
                <w:color w:val="000000"/>
                <w:kern w:val="0"/>
                <w:sz w:val="22"/>
              </w:rPr>
            </w:pPr>
          </w:p>
        </w:tc>
        <w:tc>
          <w:tcPr>
            <w:tcW w:w="1125" w:type="dxa"/>
            <w:vAlign w:val="center"/>
          </w:tcPr>
          <w:p>
            <w:pPr>
              <w:widowControl/>
              <w:jc w:val="center"/>
              <w:rPr>
                <w:rFonts w:ascii="宋体" w:hAnsi="宋体" w:eastAsia="宋体" w:cs="宋体"/>
                <w:color w:val="000000"/>
                <w:kern w:val="0"/>
                <w:sz w:val="22"/>
              </w:rPr>
            </w:pPr>
          </w:p>
        </w:tc>
        <w:tc>
          <w:tcPr>
            <w:tcW w:w="1125" w:type="dxa"/>
          </w:tcPr>
          <w:p>
            <w:pPr>
              <w:widowControl/>
              <w:jc w:val="right"/>
              <w:rPr>
                <w:rFonts w:ascii="宋体" w:hAnsi="宋体" w:eastAsia="宋体" w:cs="宋体"/>
                <w:b/>
                <w:bCs/>
                <w:color w:val="000000"/>
                <w:kern w:val="0"/>
                <w:sz w:val="22"/>
              </w:rPr>
            </w:pPr>
          </w:p>
        </w:tc>
        <w:tc>
          <w:tcPr>
            <w:tcW w:w="1125" w:type="dxa"/>
          </w:tcPr>
          <w:p>
            <w:pPr>
              <w:widowControl/>
              <w:jc w:val="right"/>
              <w:rPr>
                <w:rFonts w:ascii="宋体" w:hAnsi="宋体" w:eastAsia="宋体" w:cs="宋体"/>
                <w:b/>
                <w:bCs/>
                <w:color w:val="000000"/>
                <w:kern w:val="0"/>
                <w:sz w:val="22"/>
              </w:rPr>
            </w:pPr>
          </w:p>
        </w:tc>
        <w:tc>
          <w:tcPr>
            <w:tcW w:w="1125" w:type="dxa"/>
          </w:tcPr>
          <w:p>
            <w:pPr>
              <w:widowControl/>
              <w:jc w:val="right"/>
              <w:rPr>
                <w:rFonts w:ascii="宋体" w:hAnsi="宋体" w:eastAsia="宋体" w:cs="宋体"/>
                <w:b/>
                <w:bCs/>
                <w:color w:val="000000"/>
                <w:kern w:val="0"/>
                <w:sz w:val="22"/>
              </w:rPr>
            </w:pPr>
          </w:p>
        </w:tc>
      </w:tr>
    </w:tbl>
    <w:p>
      <w:pPr>
        <w:ind w:left="7400" w:hanging="7400" w:hangingChars="3700"/>
        <w:rPr>
          <w:rFonts w:ascii="宋体" w:hAnsi="宋体" w:cs="宋体"/>
          <w:kern w:val="0"/>
          <w:sz w:val="20"/>
          <w:szCs w:val="20"/>
        </w:rPr>
      </w:pPr>
    </w:p>
    <w:p/>
    <w:p/>
    <w:p/>
    <w:p/>
    <w:p/>
    <w:p/>
    <w:p/>
    <w:p/>
    <w:p/>
    <w:p/>
    <w:p/>
    <w:p/>
    <w:p/>
    <w:p/>
    <w:p/>
    <w:p/>
    <w:p/>
    <w:p/>
    <w:p>
      <w:pPr>
        <w:ind w:left="903" w:leftChars="430" w:firstLine="5400" w:firstLineChars="2700"/>
        <w:rPr>
          <w:rFonts w:ascii="宋体" w:hAnsi="宋体" w:cs="宋体"/>
          <w:kern w:val="0"/>
          <w:sz w:val="20"/>
          <w:szCs w:val="20"/>
        </w:rPr>
      </w:pPr>
    </w:p>
    <w:p>
      <w:pPr>
        <w:ind w:left="903" w:leftChars="430" w:firstLine="6200" w:firstLineChars="3100"/>
        <w:rPr>
          <w:rFonts w:ascii="宋体" w:hAnsi="宋体" w:cs="宋体"/>
          <w:kern w:val="0"/>
          <w:sz w:val="22"/>
        </w:rPr>
      </w:pPr>
      <w:r>
        <w:rPr>
          <w:rFonts w:hint="eastAsia" w:ascii="宋体" w:hAnsi="宋体" w:cs="宋体"/>
          <w:kern w:val="0"/>
          <w:sz w:val="20"/>
          <w:szCs w:val="20"/>
        </w:rPr>
        <w:t>部门公开表6</w:t>
      </w:r>
      <w:r>
        <w:rPr>
          <w:rFonts w:hint="eastAsia" w:ascii="华文中宋" w:hAnsi="华文中宋" w:eastAsia="华文中宋" w:cs="宋体"/>
          <w:b/>
          <w:bCs/>
          <w:kern w:val="0"/>
          <w:sz w:val="32"/>
          <w:szCs w:val="32"/>
        </w:rPr>
        <w:t xml:space="preserve">   宿松县工商联</w:t>
      </w:r>
      <w:r>
        <w:rPr>
          <w:rFonts w:hint="eastAsia" w:ascii="华文中宋" w:hAnsi="华文中宋" w:eastAsia="华文中宋" w:cs="宋体"/>
          <w:b/>
          <w:bCs/>
          <w:color w:val="000000"/>
          <w:kern w:val="0"/>
          <w:sz w:val="32"/>
          <w:szCs w:val="32"/>
        </w:rPr>
        <w:t>2021年一般公共预算基本支出表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961" w:type="dxa"/>
        <w:tblInd w:w="100" w:type="dxa"/>
        <w:tblLayout w:type="fixed"/>
        <w:tblCellMar>
          <w:top w:w="0" w:type="dxa"/>
          <w:left w:w="108" w:type="dxa"/>
          <w:bottom w:w="0" w:type="dxa"/>
          <w:right w:w="108" w:type="dxa"/>
        </w:tblCellMar>
      </w:tblPr>
      <w:tblGrid>
        <w:gridCol w:w="1426"/>
        <w:gridCol w:w="3260"/>
        <w:gridCol w:w="1559"/>
        <w:gridCol w:w="1418"/>
        <w:gridCol w:w="1298"/>
      </w:tblGrid>
      <w:tr>
        <w:tblPrEx>
          <w:tblCellMar>
            <w:top w:w="0" w:type="dxa"/>
            <w:left w:w="108" w:type="dxa"/>
            <w:bottom w:w="0" w:type="dxa"/>
            <w:right w:w="108" w:type="dxa"/>
          </w:tblCellMar>
        </w:tblPrEx>
        <w:trPr>
          <w:trHeight w:val="402" w:hRule="atLeast"/>
        </w:trPr>
        <w:tc>
          <w:tcPr>
            <w:tcW w:w="46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部门预算支出经济分类科目</w:t>
            </w:r>
          </w:p>
        </w:tc>
        <w:tc>
          <w:tcPr>
            <w:tcW w:w="427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本年一般公共预算基本支出</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3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人员经费</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公用经费</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301</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工资福利支出</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r>
              <w:rPr>
                <w:rFonts w:ascii="宋体" w:hAnsi="宋体" w:eastAsia="宋体" w:cs="宋体"/>
                <w:kern w:val="0"/>
                <w:sz w:val="22"/>
              </w:rPr>
              <w:t>48.40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r>
              <w:rPr>
                <w:rFonts w:ascii="宋体" w:hAnsi="宋体" w:eastAsia="宋体" w:cs="宋体"/>
                <w:kern w:val="0"/>
                <w:sz w:val="22"/>
              </w:rPr>
              <w:t>48.40</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30101</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基本工资</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r>
              <w:rPr>
                <w:rFonts w:hint="eastAsia" w:ascii="宋体" w:hAnsi="宋体" w:eastAsia="宋体" w:cs="宋体"/>
                <w:kern w:val="0"/>
                <w:sz w:val="22"/>
              </w:rPr>
              <w:t>22.94</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r>
              <w:rPr>
                <w:rFonts w:hint="eastAsia" w:ascii="宋体" w:hAnsi="宋体" w:eastAsia="宋体" w:cs="宋体"/>
                <w:kern w:val="0"/>
                <w:sz w:val="22"/>
              </w:rPr>
              <w:t>22.94</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30102</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津贴补贴</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r>
              <w:rPr>
                <w:rFonts w:hint="eastAsia" w:ascii="宋体" w:hAnsi="宋体"/>
                <w:color w:val="000000"/>
                <w:kern w:val="0"/>
                <w:sz w:val="22"/>
              </w:rPr>
              <w:t>10.84</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r>
              <w:rPr>
                <w:rFonts w:hint="eastAsia" w:ascii="宋体" w:hAnsi="宋体"/>
                <w:color w:val="000000"/>
                <w:kern w:val="0"/>
                <w:sz w:val="22"/>
              </w:rPr>
              <w:t>10.84</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xml:space="preserve"> 30103</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xml:space="preserve">  奖金</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r>
              <w:rPr>
                <w:rFonts w:hint="eastAsia" w:ascii="宋体" w:hAnsi="宋体"/>
                <w:color w:val="000000"/>
                <w:kern w:val="0"/>
                <w:sz w:val="22"/>
              </w:rPr>
              <w:t>1.91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r>
              <w:rPr>
                <w:rFonts w:hint="eastAsia" w:ascii="宋体" w:hAnsi="宋体"/>
                <w:color w:val="000000"/>
                <w:kern w:val="0"/>
                <w:sz w:val="22"/>
              </w:rPr>
              <w:t>1.91</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xml:space="preserve"> 30108</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xml:space="preserve">  机关事业基本养老保险缴费</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5.71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5.71</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xml:space="preserve"> 30110</w:t>
            </w:r>
          </w:p>
        </w:tc>
        <w:tc>
          <w:tcPr>
            <w:tcW w:w="3260" w:type="dxa"/>
            <w:tcBorders>
              <w:top w:val="nil"/>
              <w:left w:val="nil"/>
              <w:bottom w:val="single" w:color="auto" w:sz="4" w:space="0"/>
              <w:right w:val="single" w:color="auto" w:sz="4" w:space="0"/>
            </w:tcBorders>
            <w:shd w:val="clear" w:color="auto" w:fill="auto"/>
            <w:noWrap/>
            <w:vAlign w:val="center"/>
          </w:tcPr>
          <w:p>
            <w:pPr>
              <w:widowControl/>
              <w:ind w:firstLine="220" w:firstLineChars="100"/>
              <w:jc w:val="left"/>
              <w:rPr>
                <w:rFonts w:ascii="宋体" w:hAnsi="宋体"/>
                <w:color w:val="000000"/>
                <w:kern w:val="0"/>
                <w:sz w:val="22"/>
              </w:rPr>
            </w:pPr>
            <w:r>
              <w:rPr>
                <w:rFonts w:hint="eastAsia" w:ascii="宋体" w:hAnsi="宋体" w:cs="宋体"/>
                <w:color w:val="000000"/>
                <w:kern w:val="0"/>
                <w:sz w:val="22"/>
              </w:rPr>
              <w:t>职工基本医疗保险缴费</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2.32</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tcPr>
          <w:p>
            <w:pPr>
              <w:widowControl/>
              <w:rPr>
                <w:rFonts w:ascii="宋体" w:hAnsi="宋体" w:cs="宋体"/>
                <w:color w:val="000000"/>
                <w:kern w:val="0"/>
                <w:sz w:val="22"/>
              </w:rPr>
            </w:pPr>
            <w:r>
              <w:rPr>
                <w:rFonts w:hint="eastAsia" w:ascii="宋体" w:hAnsi="宋体" w:cs="宋体"/>
                <w:color w:val="000000"/>
                <w:kern w:val="0"/>
                <w:sz w:val="22"/>
              </w:rPr>
              <w:t xml:space="preserve"> 30112</w:t>
            </w:r>
          </w:p>
        </w:tc>
        <w:tc>
          <w:tcPr>
            <w:tcW w:w="3260" w:type="dxa"/>
            <w:tcBorders>
              <w:top w:val="nil"/>
              <w:left w:val="nil"/>
              <w:bottom w:val="single" w:color="auto" w:sz="4" w:space="0"/>
              <w:right w:val="single" w:color="auto" w:sz="4" w:space="0"/>
            </w:tcBorders>
            <w:shd w:val="clear" w:color="auto" w:fill="auto"/>
            <w:noWrap/>
            <w:vAlign w:val="center"/>
          </w:tcPr>
          <w:p>
            <w:pPr>
              <w:widowControl/>
              <w:ind w:firstLine="220" w:firstLineChars="100"/>
              <w:rPr>
                <w:rFonts w:ascii="宋体" w:hAnsi="宋体" w:cs="宋体"/>
                <w:color w:val="000000"/>
                <w:kern w:val="0"/>
                <w:sz w:val="22"/>
              </w:rPr>
            </w:pPr>
            <w:r>
              <w:rPr>
                <w:rFonts w:hint="eastAsia" w:ascii="宋体" w:hAnsi="宋体" w:cs="宋体"/>
                <w:color w:val="000000"/>
                <w:kern w:val="0"/>
                <w:sz w:val="22"/>
              </w:rPr>
              <w:t>其他社会保障缴费</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0.4</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0.4</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rPr>
                <w:rFonts w:ascii="宋体" w:hAnsi="宋体"/>
                <w:color w:val="000000"/>
                <w:kern w:val="0"/>
                <w:sz w:val="22"/>
              </w:rPr>
            </w:pPr>
            <w:r>
              <w:rPr>
                <w:rFonts w:hint="eastAsia" w:ascii="宋体" w:hAnsi="宋体"/>
                <w:color w:val="000000"/>
                <w:kern w:val="0"/>
                <w:sz w:val="22"/>
              </w:rPr>
              <w:t>30105</w:t>
            </w:r>
          </w:p>
        </w:tc>
        <w:tc>
          <w:tcPr>
            <w:tcW w:w="3260" w:type="dxa"/>
            <w:tcBorders>
              <w:top w:val="nil"/>
              <w:left w:val="nil"/>
              <w:bottom w:val="single" w:color="auto" w:sz="4" w:space="0"/>
              <w:right w:val="single" w:color="auto" w:sz="4" w:space="0"/>
            </w:tcBorders>
            <w:shd w:val="clear" w:color="auto" w:fill="auto"/>
            <w:noWrap/>
            <w:vAlign w:val="center"/>
          </w:tcPr>
          <w:p>
            <w:pPr>
              <w:widowControl/>
              <w:ind w:firstLine="220" w:firstLineChars="100"/>
              <w:rPr>
                <w:rFonts w:ascii="宋体" w:hAnsi="宋体"/>
                <w:color w:val="000000"/>
                <w:kern w:val="0"/>
                <w:sz w:val="22"/>
              </w:rPr>
            </w:pPr>
            <w:r>
              <w:rPr>
                <w:rFonts w:hint="eastAsia" w:ascii="宋体" w:hAnsi="宋体"/>
                <w:color w:val="000000"/>
                <w:kern w:val="0"/>
                <w:sz w:val="22"/>
              </w:rPr>
              <w:t>住房公积金</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4.28</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4.28</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302</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商品和服务支出</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40.65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40.65</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xml:space="preserve"> 30201</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xml:space="preserve">  办公费</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r>
              <w:rPr>
                <w:rFonts w:ascii="宋体" w:hAnsi="宋体" w:eastAsia="宋体" w:cs="宋体"/>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r>
              <w:rPr>
                <w:rFonts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xml:space="preserve"> 30206</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xml:space="preserve">  电费</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w:t>
            </w:r>
            <w:r>
              <w:rPr>
                <w:rFonts w:ascii="宋体" w:hAnsi="宋体" w:eastAsia="宋体" w:cs="宋体"/>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w:t>
            </w:r>
            <w:r>
              <w:rPr>
                <w:rFonts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olor w:val="000000"/>
                <w:kern w:val="0"/>
                <w:sz w:val="22"/>
              </w:rPr>
            </w:pPr>
            <w:r>
              <w:rPr>
                <w:rFonts w:hint="eastAsia" w:ascii="宋体" w:hAnsi="宋体"/>
                <w:color w:val="000000"/>
                <w:kern w:val="0"/>
                <w:sz w:val="22"/>
              </w:rPr>
              <w:t xml:space="preserve"> 30207</w:t>
            </w:r>
          </w:p>
        </w:tc>
        <w:tc>
          <w:tcPr>
            <w:tcW w:w="3260" w:type="dxa"/>
            <w:tcBorders>
              <w:top w:val="nil"/>
              <w:left w:val="nil"/>
              <w:bottom w:val="single" w:color="auto" w:sz="4" w:space="0"/>
              <w:right w:val="single" w:color="auto" w:sz="4" w:space="0"/>
            </w:tcBorders>
            <w:shd w:val="clear" w:color="auto" w:fill="auto"/>
            <w:noWrap/>
            <w:vAlign w:val="center"/>
          </w:tcPr>
          <w:p>
            <w:pPr>
              <w:widowControl/>
              <w:ind w:firstLine="220" w:firstLineChars="100"/>
              <w:rPr>
                <w:rFonts w:ascii="宋体" w:hAnsi="宋体"/>
                <w:color w:val="000000"/>
                <w:kern w:val="0"/>
                <w:sz w:val="22"/>
              </w:rPr>
            </w:pPr>
            <w:r>
              <w:rPr>
                <w:rFonts w:hint="eastAsia" w:ascii="宋体" w:hAnsi="宋体"/>
                <w:color w:val="000000"/>
                <w:kern w:val="0"/>
                <w:sz w:val="22"/>
              </w:rPr>
              <w:t>邮电费</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p>
        </w:tc>
        <w:tc>
          <w:tcPr>
            <w:tcW w:w="129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xml:space="preserve"> 30211</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差旅费</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2"/>
              </w:rPr>
            </w:pPr>
          </w:p>
        </w:tc>
        <w:tc>
          <w:tcPr>
            <w:tcW w:w="129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3021599</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会议费</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r>
              <w:rPr>
                <w:rFonts w:ascii="宋体" w:hAnsi="宋体" w:eastAsia="宋体"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29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r>
              <w:rPr>
                <w:rFonts w:ascii="宋体" w:hAnsi="宋体" w:eastAsia="宋体" w:cs="宋体"/>
                <w:color w:val="000000"/>
                <w:kern w:val="0"/>
                <w:sz w:val="22"/>
              </w:rPr>
              <w:t>0</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xml:space="preserve"> 30217</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　公务接待费</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29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宋体" w:hAnsi="宋体"/>
                <w:color w:val="000000"/>
                <w:kern w:val="0"/>
                <w:sz w:val="22"/>
              </w:rPr>
            </w:pPr>
            <w:r>
              <w:rPr>
                <w:rFonts w:hint="eastAsia" w:ascii="宋体" w:hAnsi="宋体"/>
                <w:color w:val="000000"/>
                <w:kern w:val="0"/>
                <w:sz w:val="22"/>
              </w:rPr>
              <w:t>30228</w:t>
            </w:r>
          </w:p>
        </w:tc>
        <w:tc>
          <w:tcPr>
            <w:tcW w:w="3260" w:type="dxa"/>
            <w:tcBorders>
              <w:top w:val="nil"/>
              <w:left w:val="nil"/>
              <w:bottom w:val="single" w:color="auto" w:sz="4" w:space="0"/>
              <w:right w:val="single" w:color="auto" w:sz="4" w:space="0"/>
            </w:tcBorders>
            <w:shd w:val="clear" w:color="auto" w:fill="auto"/>
            <w:noWrap/>
            <w:vAlign w:val="center"/>
          </w:tcPr>
          <w:p>
            <w:pPr>
              <w:widowControl/>
              <w:ind w:firstLine="220" w:firstLineChars="100"/>
              <w:jc w:val="left"/>
              <w:rPr>
                <w:rFonts w:ascii="宋体" w:hAnsi="宋体"/>
                <w:color w:val="000000"/>
                <w:kern w:val="0"/>
                <w:sz w:val="22"/>
              </w:rPr>
            </w:pPr>
            <w:r>
              <w:rPr>
                <w:rFonts w:hint="eastAsia" w:ascii="宋体" w:hAnsi="宋体"/>
                <w:color w:val="000000"/>
                <w:kern w:val="0"/>
                <w:sz w:val="22"/>
              </w:rPr>
              <w:t>工会经费</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0.43</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0.43</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宋体" w:hAnsi="宋体"/>
                <w:color w:val="000000"/>
                <w:kern w:val="0"/>
                <w:sz w:val="22"/>
              </w:rPr>
            </w:pPr>
            <w:r>
              <w:rPr>
                <w:rFonts w:hint="eastAsia" w:ascii="宋体" w:hAnsi="宋体"/>
                <w:color w:val="000000"/>
                <w:kern w:val="0"/>
                <w:sz w:val="22"/>
              </w:rPr>
              <w:t>30239</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其他交通费用</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3.72</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宋体" w:hAnsi="宋体"/>
                <w:color w:val="000000"/>
                <w:kern w:val="0"/>
                <w:sz w:val="22"/>
              </w:rPr>
            </w:pPr>
            <w:r>
              <w:rPr>
                <w:rFonts w:hint="eastAsia" w:ascii="宋体" w:hAnsi="宋体"/>
                <w:color w:val="000000"/>
                <w:kern w:val="0"/>
                <w:sz w:val="22"/>
              </w:rPr>
              <w:t>30299</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其他商品服务支出</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color w:val="000000"/>
                <w:kern w:val="0"/>
                <w:sz w:val="22"/>
              </w:rPr>
              <w:t>29.00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color w:val="000000"/>
                <w:kern w:val="0"/>
                <w:sz w:val="22"/>
              </w:rPr>
              <w:t>29.00</w:t>
            </w:r>
          </w:p>
        </w:tc>
      </w:tr>
      <w:tr>
        <w:tblPrEx>
          <w:tblCellMar>
            <w:top w:w="0" w:type="dxa"/>
            <w:left w:w="108" w:type="dxa"/>
            <w:bottom w:w="0" w:type="dxa"/>
            <w:right w:w="108" w:type="dxa"/>
          </w:tblCellMar>
        </w:tblPrEx>
        <w:trPr>
          <w:trHeight w:val="402" w:hRule="atLeast"/>
        </w:trPr>
        <w:tc>
          <w:tcPr>
            <w:tcW w:w="14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303</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rPr>
            </w:pPr>
            <w:r>
              <w:rPr>
                <w:rFonts w:hint="eastAsia" w:ascii="宋体" w:hAnsi="宋体"/>
                <w:color w:val="000000"/>
                <w:kern w:val="0"/>
                <w:sz w:val="22"/>
              </w:rPr>
              <w:t>对个人和家庭的补助支出</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 w:val="22"/>
              </w:rPr>
            </w:pPr>
            <w:r>
              <w:rPr>
                <w:rFonts w:hint="eastAsia" w:ascii="宋体" w:hAnsi="宋体" w:cs="宋体"/>
                <w:color w:val="000000"/>
                <w:kern w:val="0"/>
                <w:sz w:val="22"/>
                <w:lang w:bidi="ar"/>
              </w:rPr>
              <w:t xml:space="preserve"> 30305</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sz w:val="18"/>
                <w:szCs w:val="18"/>
              </w:rPr>
            </w:pPr>
            <w:r>
              <w:rPr>
                <w:rFonts w:hint="eastAsia" w:ascii="宋体" w:hAnsi="宋体" w:cs="宋体"/>
                <w:color w:val="000000"/>
                <w:kern w:val="0"/>
                <w:sz w:val="22"/>
                <w:lang w:bidi="ar"/>
              </w:rPr>
              <w:t xml:space="preserve">  生活补助</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w:t>
            </w:r>
          </w:p>
        </w:tc>
        <w:tc>
          <w:tcPr>
            <w:tcW w:w="12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kern w:val="0"/>
                <w:sz w:val="22"/>
                <w:lang w:bidi="ar"/>
              </w:rPr>
            </w:pP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kern w:val="0"/>
                <w:sz w:val="22"/>
                <w:lang w:bidi="ar"/>
              </w:rPr>
            </w:pPr>
            <w:r>
              <w:rPr>
                <w:rFonts w:hint="eastAsia" w:ascii="宋体" w:hAnsi="宋体" w:cs="宋体"/>
                <w:b/>
                <w:bCs/>
                <w:color w:val="000000"/>
                <w:kern w:val="0"/>
                <w:sz w:val="22"/>
                <w:lang w:bidi="ar"/>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9</w:t>
            </w:r>
            <w:r>
              <w:rPr>
                <w:rFonts w:ascii="宋体" w:hAnsi="宋体" w:eastAsia="宋体" w:cs="宋体"/>
                <w:b/>
                <w:bCs/>
                <w:kern w:val="0"/>
                <w:sz w:val="22"/>
              </w:rPr>
              <w:t>0.45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4</w:t>
            </w:r>
            <w:r>
              <w:rPr>
                <w:rFonts w:ascii="宋体" w:hAnsi="宋体" w:eastAsia="宋体" w:cs="宋体"/>
                <w:b/>
                <w:bCs/>
                <w:kern w:val="0"/>
                <w:sz w:val="22"/>
              </w:rPr>
              <w:t>9.80</w:t>
            </w:r>
          </w:p>
        </w:tc>
        <w:tc>
          <w:tcPr>
            <w:tcW w:w="12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4</w:t>
            </w:r>
            <w:r>
              <w:rPr>
                <w:rFonts w:ascii="宋体" w:hAnsi="宋体" w:eastAsia="宋体" w:cs="宋体"/>
                <w:b/>
                <w:bCs/>
                <w:kern w:val="0"/>
                <w:sz w:val="22"/>
              </w:rPr>
              <w:t>0.65</w:t>
            </w:r>
          </w:p>
        </w:tc>
      </w:tr>
    </w:tbl>
    <w:p/>
    <w:p/>
    <w:p/>
    <w:p/>
    <w:p/>
    <w:p/>
    <w:p/>
    <w:p/>
    <w:p/>
    <w:p/>
    <w:p/>
    <w:p>
      <w:pPr>
        <w:rPr>
          <w:rFonts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部门公开表7</w:t>
      </w:r>
    </w:p>
    <w:p>
      <w:pPr>
        <w:widowControl/>
        <w:ind w:firstLine="140" w:firstLineChars="50"/>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 xml:space="preserve">  </w:t>
      </w:r>
      <w:r>
        <w:rPr>
          <w:rFonts w:ascii="华文中宋" w:hAnsi="华文中宋" w:eastAsia="华文中宋" w:cs="宋体"/>
          <w:b/>
          <w:bCs/>
          <w:kern w:val="0"/>
          <w:sz w:val="28"/>
          <w:szCs w:val="28"/>
        </w:rPr>
        <w:t xml:space="preserve">       </w:t>
      </w:r>
      <w:r>
        <w:rPr>
          <w:rFonts w:hint="eastAsia" w:ascii="华文中宋" w:hAnsi="华文中宋" w:eastAsia="华文中宋" w:cs="宋体"/>
          <w:b/>
          <w:bCs/>
          <w:kern w:val="0"/>
          <w:sz w:val="28"/>
          <w:szCs w:val="28"/>
        </w:rPr>
        <w:t xml:space="preserve"> 宿松县工商联2021年政府性基金预算支出表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820" w:type="dxa"/>
        <w:tblInd w:w="100" w:type="dxa"/>
        <w:tblLayout w:type="fixed"/>
        <w:tblCellMar>
          <w:top w:w="0" w:type="dxa"/>
          <w:left w:w="108" w:type="dxa"/>
          <w:bottom w:w="0" w:type="dxa"/>
          <w:right w:w="108" w:type="dxa"/>
        </w:tblCellMar>
      </w:tblPr>
      <w:tblGrid>
        <w:gridCol w:w="1400"/>
        <w:gridCol w:w="3340"/>
        <w:gridCol w:w="1360"/>
        <w:gridCol w:w="1360"/>
        <w:gridCol w:w="1360"/>
      </w:tblGrid>
      <w:tr>
        <w:tblPrEx>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40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本年政府性基金预算支出</w:t>
            </w:r>
          </w:p>
        </w:tc>
      </w:tr>
      <w:tr>
        <w:tblPrEx>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c>
          <w:tcPr>
            <w:tcW w:w="3340" w:type="dxa"/>
            <w:tcBorders>
              <w:top w:val="nil"/>
              <w:left w:val="nil"/>
              <w:bottom w:val="single" w:color="auto" w:sz="4" w:space="0"/>
              <w:right w:val="single" w:color="auto" w:sz="4" w:space="0"/>
            </w:tcBorders>
            <w:shd w:val="clear" w:color="auto" w:fill="auto"/>
            <w:noWrap/>
            <w:vAlign w:val="center"/>
          </w:tcPr>
          <w:p>
            <w:pPr>
              <w:widowControl/>
              <w:ind w:firstLine="200" w:firstLineChars="100"/>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ind w:firstLine="110" w:firstLineChars="50"/>
              <w:jc w:val="left"/>
              <w:rPr>
                <w:rFonts w:ascii="宋体" w:hAnsi="宋体" w:cs="宋体"/>
                <w:kern w:val="0"/>
                <w:sz w:val="22"/>
              </w:rPr>
            </w:pP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pStyle w:val="4"/>
        <w:adjustRightInd w:val="0"/>
        <w:snapToGrid w:val="0"/>
        <w:spacing w:before="0" w:beforeAutospacing="0" w:after="0" w:afterAutospacing="0" w:line="360" w:lineRule="auto"/>
      </w:pPr>
      <w:r>
        <w:rPr>
          <w:rFonts w:hint="eastAsia"/>
        </w:rPr>
        <w:t>说明：宿松县工商联没有政府性基金预算拨款收入，也没有政府性基金预算拨款安排的支出，故本表无数据。</w:t>
      </w:r>
    </w:p>
    <w:p/>
    <w:p/>
    <w:p/>
    <w:p/>
    <w:p/>
    <w:p/>
    <w:p/>
    <w:p/>
    <w:p/>
    <w:p/>
    <w:p/>
    <w:p/>
    <w:p/>
    <w:p/>
    <w:p/>
    <w:p/>
    <w:p/>
    <w:p/>
    <w:p>
      <w:pPr>
        <w:pStyle w:val="4"/>
        <w:adjustRightInd w:val="0"/>
        <w:snapToGrid w:val="0"/>
        <w:spacing w:before="0" w:beforeAutospacing="0" w:after="0" w:afterAutospacing="0" w:line="360" w:lineRule="auto"/>
        <w:ind w:right="100"/>
        <w:jc w:val="right"/>
        <w:rPr>
          <w:rFonts w:ascii="黑体" w:hAnsi="黑体" w:eastAsia="黑体"/>
          <w:bCs/>
          <w:sz w:val="36"/>
          <w:szCs w:val="36"/>
        </w:rPr>
      </w:pPr>
      <w:r>
        <w:rPr>
          <w:rFonts w:hint="eastAsia"/>
          <w:sz w:val="20"/>
          <w:szCs w:val="20"/>
        </w:rPr>
        <w:t xml:space="preserve">  部门公开表8</w:t>
      </w:r>
    </w:p>
    <w:p>
      <w:pPr>
        <w:pStyle w:val="4"/>
        <w:adjustRightInd w:val="0"/>
        <w:snapToGrid w:val="0"/>
        <w:spacing w:before="0" w:beforeAutospacing="0" w:after="0" w:afterAutospacing="0" w:line="360" w:lineRule="auto"/>
        <w:jc w:val="center"/>
        <w:rPr>
          <w:rFonts w:ascii="黑体" w:hAnsi="黑体" w:eastAsia="黑体"/>
          <w:bCs/>
          <w:sz w:val="18"/>
          <w:szCs w:val="18"/>
        </w:rPr>
      </w:pPr>
    </w:p>
    <w:tbl>
      <w:tblPr>
        <w:tblStyle w:val="5"/>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079"/>
        <w:gridCol w:w="180"/>
        <w:gridCol w:w="56"/>
      </w:tblGrid>
      <w:tr>
        <w:tblPrEx>
          <w:tblCellMar>
            <w:top w:w="0" w:type="dxa"/>
            <w:left w:w="108" w:type="dxa"/>
            <w:bottom w:w="0" w:type="dxa"/>
            <w:right w:w="108" w:type="dxa"/>
          </w:tblCellMar>
        </w:tblPrEx>
        <w:trPr>
          <w:gridAfter w:val="1"/>
          <w:wAfter w:w="56" w:type="dxa"/>
          <w:trHeight w:val="510" w:hRule="atLeast"/>
        </w:trPr>
        <w:tc>
          <w:tcPr>
            <w:tcW w:w="9108" w:type="dxa"/>
            <w:gridSpan w:val="9"/>
            <w:tcBorders>
              <w:top w:val="nil"/>
              <w:left w:val="nil"/>
              <w:bottom w:val="nil"/>
              <w:right w:val="nil"/>
            </w:tcBorders>
            <w:vAlign w:val="center"/>
          </w:tcPr>
          <w:p>
            <w:pPr>
              <w:widowControl/>
              <w:jc w:val="center"/>
              <w:rPr>
                <w:rFonts w:ascii="华文中宋" w:hAnsi="华文中宋" w:eastAsia="华文中宋" w:cs="宋体"/>
                <w:b/>
                <w:bCs/>
                <w:kern w:val="0"/>
                <w:sz w:val="28"/>
                <w:szCs w:val="28"/>
                <w:u w:val="single"/>
              </w:r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28"/>
                <w:szCs w:val="28"/>
              </w:rPr>
              <w:t xml:space="preserve"> 宿松县工商联2021年国有资本经营预算支出表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widowControl/>
              <w:jc w:val="left"/>
              <w:rPr>
                <w:rFonts w:ascii="宋体" w:hAnsi="宋体" w:cs="宋体"/>
                <w:kern w:val="0"/>
                <w:sz w:val="18"/>
                <w:szCs w:val="18"/>
              </w:rPr>
            </w:pPr>
          </w:p>
        </w:tc>
        <w:tc>
          <w:tcPr>
            <w:tcW w:w="697"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3780"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236" w:type="dxa"/>
            <w:tcBorders>
              <w:top w:val="nil"/>
              <w:left w:val="nil"/>
              <w:bottom w:val="nil"/>
              <w:right w:val="nil"/>
            </w:tcBorders>
            <w:vAlign w:val="center"/>
          </w:tcPr>
          <w:p>
            <w:pPr>
              <w:widowControl/>
              <w:jc w:val="left"/>
              <w:rPr>
                <w:rFonts w:ascii="宋体" w:hAnsi="宋体" w:cs="宋体"/>
                <w:kern w:val="0"/>
                <w:sz w:val="20"/>
                <w:szCs w:val="20"/>
              </w:rPr>
            </w:pPr>
          </w:p>
        </w:tc>
        <w:tc>
          <w:tcPr>
            <w:tcW w:w="2645" w:type="dxa"/>
            <w:gridSpan w:val="3"/>
            <w:tcBorders>
              <w:top w:val="nil"/>
              <w:left w:val="nil"/>
              <w:bottom w:val="nil"/>
              <w:right w:val="nil"/>
            </w:tcBorders>
            <w:vAlign w:val="center"/>
          </w:tcPr>
          <w:p>
            <w:pPr>
              <w:widowControl/>
              <w:jc w:val="left"/>
              <w:rPr>
                <w:rFonts w:ascii="宋体" w:hAnsi="宋体" w:cs="宋体"/>
                <w:kern w:val="0"/>
                <w:sz w:val="20"/>
                <w:szCs w:val="20"/>
              </w:rPr>
            </w:pPr>
          </w:p>
        </w:tc>
        <w:tc>
          <w:tcPr>
            <w:tcW w:w="1315" w:type="dxa"/>
            <w:gridSpan w:val="3"/>
            <w:tcBorders>
              <w:top w:val="nil"/>
              <w:left w:val="nil"/>
              <w:bottom w:val="nil"/>
              <w:right w:val="nil"/>
            </w:tcBorders>
            <w:vAlign w:val="center"/>
          </w:tcPr>
          <w:p>
            <w:pPr>
              <w:widowControl/>
              <w:ind w:right="100"/>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2"/>
          <w:wAfter w:w="23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2"/>
              </w:rPr>
              <w:t>功能分类科目</w:t>
            </w:r>
          </w:p>
        </w:tc>
        <w:tc>
          <w:tcPr>
            <w:tcW w:w="3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 w:val="22"/>
              </w:rPr>
              <w:t>国有资本经营预算拨款支出</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科目编码</w:t>
            </w:r>
          </w:p>
        </w:tc>
        <w:tc>
          <w:tcPr>
            <w:tcW w:w="3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基本支出</w:t>
            </w:r>
          </w:p>
        </w:tc>
        <w:tc>
          <w:tcPr>
            <w:tcW w:w="144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项目支出</w:t>
            </w:r>
          </w:p>
        </w:tc>
      </w:tr>
      <w:tr>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0"/>
                <w:sz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ind w:firstLine="220" w:firstLineChars="100"/>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kern w:val="0"/>
                <w:sz w:val="24"/>
              </w:rPr>
            </w:pPr>
          </w:p>
        </w:tc>
        <w:tc>
          <w:tcPr>
            <w:tcW w:w="37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795" w:hRule="atLeast"/>
        </w:trPr>
        <w:tc>
          <w:tcPr>
            <w:tcW w:w="9108" w:type="dxa"/>
            <w:gridSpan w:val="9"/>
            <w:tcBorders>
              <w:top w:val="single" w:color="auto" w:sz="4" w:space="0"/>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说明：</w:t>
            </w:r>
            <w:r>
              <w:rPr>
                <w:rFonts w:hint="eastAsia" w:ascii="宋体" w:hAnsi="宋体"/>
                <w:kern w:val="0"/>
                <w:sz w:val="24"/>
              </w:rPr>
              <w:t>宿松县工商联</w:t>
            </w:r>
            <w:r>
              <w:rPr>
                <w:rFonts w:hint="eastAsia" w:ascii="宋体" w:hAnsi="宋体" w:cs="宋体"/>
                <w:kern w:val="0"/>
                <w:sz w:val="24"/>
              </w:rPr>
              <w:t>没有国有资本经营预算拨款收入，也没有国有资本经营预算拨款安排的支出，故本表无数据。</w:t>
            </w:r>
          </w:p>
        </w:tc>
      </w:tr>
    </w:tbl>
    <w:p>
      <w:pPr>
        <w:pStyle w:val="4"/>
        <w:adjustRightInd w:val="0"/>
        <w:snapToGrid w:val="0"/>
        <w:spacing w:before="0" w:beforeAutospacing="0" w:after="0" w:afterAutospacing="0" w:line="360" w:lineRule="auto"/>
        <w:ind w:right="400"/>
        <w:rPr>
          <w:sz w:val="20"/>
          <w:szCs w:val="20"/>
        </w:rPr>
      </w:pPr>
    </w:p>
    <w:p/>
    <w:p>
      <w:pPr>
        <w:sectPr>
          <w:pgSz w:w="11906" w:h="16838"/>
          <w:pgMar w:top="1440" w:right="1797" w:bottom="1440" w:left="1797" w:header="851" w:footer="992" w:gutter="0"/>
          <w:cols w:space="425" w:num="1"/>
          <w:docGrid w:type="lines" w:linePitch="312" w:charSpace="0"/>
        </w:sectPr>
      </w:pPr>
    </w:p>
    <w:p>
      <w:pPr>
        <w:ind w:firstLine="9500" w:firstLineChars="4750"/>
        <w:rPr>
          <w:rFonts w:ascii="宋体" w:hAnsi="宋体" w:cs="宋体"/>
          <w:kern w:val="0"/>
          <w:sz w:val="20"/>
          <w:szCs w:val="20"/>
        </w:rPr>
      </w:pPr>
      <w:r>
        <w:rPr>
          <w:rFonts w:hint="eastAsia" w:ascii="宋体" w:hAnsi="宋体" w:cs="宋体"/>
          <w:kern w:val="0"/>
          <w:sz w:val="20"/>
          <w:szCs w:val="20"/>
        </w:rPr>
        <w:t xml:space="preserve">                      部门公开表9</w:t>
      </w:r>
    </w:p>
    <w:p>
      <w:pPr>
        <w:widowControl/>
        <w:ind w:firstLine="3414" w:firstLineChars="1067"/>
        <w:rPr>
          <w:rFonts w:ascii="华文中宋" w:hAnsi="华文中宋" w:eastAsia="华文中宋" w:cs="宋体"/>
          <w:b/>
          <w:bCs/>
          <w:kern w:val="0"/>
          <w:sz w:val="30"/>
          <w:szCs w:val="30"/>
        </w:rPr>
      </w:pPr>
      <w:r>
        <w:rPr>
          <w:rFonts w:hint="eastAsia" w:ascii="华文中宋" w:hAnsi="华文中宋" w:eastAsia="华文中宋" w:cs="宋体"/>
          <w:b/>
          <w:bCs/>
          <w:kern w:val="0"/>
          <w:sz w:val="32"/>
          <w:szCs w:val="32"/>
        </w:rPr>
        <w:t xml:space="preserve">   宿松县工商联</w:t>
      </w:r>
      <w:r>
        <w:rPr>
          <w:rFonts w:hint="eastAsia" w:ascii="华文中宋" w:hAnsi="华文中宋" w:eastAsia="华文中宋" w:cs="宋体"/>
          <w:b/>
          <w:bCs/>
          <w:kern w:val="0"/>
          <w:sz w:val="30"/>
          <w:szCs w:val="30"/>
        </w:rPr>
        <w:t>2021年项目支出表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14140" w:type="dxa"/>
        <w:tblInd w:w="100" w:type="dxa"/>
        <w:tblLayout w:type="fixed"/>
        <w:tblCellMar>
          <w:top w:w="0" w:type="dxa"/>
          <w:left w:w="108" w:type="dxa"/>
          <w:bottom w:w="0" w:type="dxa"/>
          <w:right w:w="108" w:type="dxa"/>
        </w:tblCellMar>
      </w:tblPr>
      <w:tblGrid>
        <w:gridCol w:w="1200"/>
        <w:gridCol w:w="1440"/>
        <w:gridCol w:w="1360"/>
        <w:gridCol w:w="920"/>
        <w:gridCol w:w="1220"/>
        <w:gridCol w:w="1220"/>
        <w:gridCol w:w="1220"/>
        <w:gridCol w:w="1220"/>
        <w:gridCol w:w="1220"/>
        <w:gridCol w:w="1220"/>
        <w:gridCol w:w="1020"/>
        <w:gridCol w:w="880"/>
      </w:tblGrid>
      <w:tr>
        <w:tblPrEx>
          <w:tblCellMar>
            <w:top w:w="0" w:type="dxa"/>
            <w:left w:w="108" w:type="dxa"/>
            <w:bottom w:w="0" w:type="dxa"/>
            <w:right w:w="108" w:type="dxa"/>
          </w:tblCellMar>
        </w:tblPrEx>
        <w:trPr>
          <w:trHeight w:val="762"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类型</w:t>
            </w:r>
          </w:p>
        </w:tc>
        <w:tc>
          <w:tcPr>
            <w:tcW w:w="14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项目单位</w:t>
            </w:r>
          </w:p>
        </w:tc>
        <w:tc>
          <w:tcPr>
            <w:tcW w:w="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本年财政拨款</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w:t>
            </w:r>
          </w:p>
        </w:tc>
      </w:tr>
      <w:tr>
        <w:tblPrEx>
          <w:tblCellMar>
            <w:top w:w="0" w:type="dxa"/>
            <w:left w:w="108" w:type="dxa"/>
            <w:bottom w:w="0" w:type="dxa"/>
            <w:right w:w="108" w:type="dxa"/>
          </w:tblCellMar>
        </w:tblPrEx>
        <w:trPr>
          <w:trHeight w:val="762"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4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  计</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rPr>
          <w:rFonts w:ascii="宋体" w:hAnsi="宋体" w:cs="宋体"/>
          <w:color w:val="000000"/>
          <w:kern w:val="0"/>
          <w:sz w:val="22"/>
        </w:rPr>
      </w:pPr>
      <w:r>
        <w:rPr>
          <w:rFonts w:hint="eastAsia" w:ascii="宋体" w:hAnsi="宋体" w:cs="宋体"/>
          <w:color w:val="000000"/>
          <w:kern w:val="0"/>
          <w:sz w:val="22"/>
        </w:rPr>
        <w:t>说明：宿松县工商联没有使用一般公共预算拨款、政府性基金预算拨款、国有资本经营预算拨款、财政专户管理资金和单位资金安排的项目支出，故本表无数据。</w:t>
      </w: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p>
    <w:p>
      <w:pPr>
        <w:pStyle w:val="4"/>
        <w:wordWrap w:val="0"/>
        <w:adjustRightInd w:val="0"/>
        <w:snapToGrid w:val="0"/>
        <w:spacing w:before="0" w:beforeAutospacing="0" w:after="0" w:afterAutospacing="0" w:line="360" w:lineRule="auto"/>
        <w:jc w:val="right"/>
        <w:rPr>
          <w:sz w:val="20"/>
          <w:szCs w:val="20"/>
        </w:rPr>
      </w:pPr>
      <w:r>
        <w:rPr>
          <w:rFonts w:hint="eastAsia"/>
          <w:sz w:val="20"/>
          <w:szCs w:val="20"/>
        </w:rPr>
        <w:t xml:space="preserve">       部门公开表10</w:t>
      </w:r>
    </w:p>
    <w:tbl>
      <w:tblPr>
        <w:tblStyle w:val="5"/>
        <w:tblpPr w:leftFromText="180" w:rightFromText="180" w:vertAnchor="text" w:horzAnchor="page" w:tblpX="1465" w:tblpY="426"/>
        <w:tblOverlap w:val="never"/>
        <w:tblW w:w="10431" w:type="dxa"/>
        <w:tblInd w:w="0" w:type="dxa"/>
        <w:tblLayout w:type="fixed"/>
        <w:tblCellMar>
          <w:top w:w="0" w:type="dxa"/>
          <w:left w:w="108" w:type="dxa"/>
          <w:bottom w:w="0" w:type="dxa"/>
          <w:right w:w="108" w:type="dxa"/>
        </w:tblCellMar>
      </w:tblPr>
      <w:tblGrid>
        <w:gridCol w:w="864"/>
        <w:gridCol w:w="1840"/>
        <w:gridCol w:w="820"/>
        <w:gridCol w:w="831"/>
        <w:gridCol w:w="1109"/>
        <w:gridCol w:w="1080"/>
        <w:gridCol w:w="1040"/>
        <w:gridCol w:w="1281"/>
        <w:gridCol w:w="1566"/>
      </w:tblGrid>
      <w:tr>
        <w:tblPrEx>
          <w:tblCellMar>
            <w:top w:w="0" w:type="dxa"/>
            <w:left w:w="108" w:type="dxa"/>
            <w:bottom w:w="0" w:type="dxa"/>
            <w:right w:w="108" w:type="dxa"/>
          </w:tblCellMar>
        </w:tblPrEx>
        <w:trPr>
          <w:trHeight w:val="525" w:hRule="atLeast"/>
        </w:trPr>
        <w:tc>
          <w:tcPr>
            <w:tcW w:w="10431" w:type="dxa"/>
            <w:gridSpan w:val="9"/>
            <w:tcBorders>
              <w:top w:val="nil"/>
              <w:left w:val="nil"/>
              <w:bottom w:val="nil"/>
              <w:right w:val="nil"/>
            </w:tcBorders>
            <w:noWrap/>
            <w:vAlign w:val="center"/>
          </w:tcPr>
          <w:p>
            <w:pPr>
              <w:widowControl/>
              <w:ind w:firstLine="1922" w:firstLineChars="600"/>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宿松县工商联2021年政府采购支出表</w:t>
            </w:r>
          </w:p>
          <w:p>
            <w:pPr>
              <w:widowControl/>
              <w:jc w:val="center"/>
              <w:rPr>
                <w:rFonts w:ascii="宋体" w:hAnsi="宋体" w:cs="宋体"/>
                <w:b/>
                <w:bCs/>
                <w:kern w:val="0"/>
                <w:sz w:val="32"/>
                <w:szCs w:val="32"/>
              </w:rPr>
            </w:pPr>
            <w:r>
              <w:rPr>
                <w:rFonts w:hint="eastAsia" w:ascii="宋体" w:hAnsi="宋体" w:cs="宋体"/>
                <w:kern w:val="0"/>
                <w:sz w:val="20"/>
                <w:szCs w:val="20"/>
              </w:rPr>
              <w:t xml:space="preserve">                                                                              单位：万元</w:t>
            </w:r>
          </w:p>
        </w:tc>
      </w:tr>
      <w:tr>
        <w:tblPrEx>
          <w:tblCellMar>
            <w:top w:w="0" w:type="dxa"/>
            <w:left w:w="108" w:type="dxa"/>
            <w:bottom w:w="0" w:type="dxa"/>
            <w:right w:w="108" w:type="dxa"/>
          </w:tblCellMar>
        </w:tblPrEx>
        <w:trPr>
          <w:gridAfter w:val="1"/>
          <w:wAfter w:w="1566" w:type="dxa"/>
          <w:trHeight w:val="855" w:hRule="atLeast"/>
        </w:trPr>
        <w:tc>
          <w:tcPr>
            <w:tcW w:w="864"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项目名称</w:t>
            </w:r>
          </w:p>
        </w:tc>
        <w:tc>
          <w:tcPr>
            <w:tcW w:w="18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政府采购项目名称</w:t>
            </w:r>
          </w:p>
        </w:tc>
        <w:tc>
          <w:tcPr>
            <w:tcW w:w="8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合计</w:t>
            </w:r>
          </w:p>
        </w:tc>
        <w:tc>
          <w:tcPr>
            <w:tcW w:w="83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一般公共预算</w:t>
            </w:r>
          </w:p>
        </w:tc>
        <w:tc>
          <w:tcPr>
            <w:tcW w:w="110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政府性基金预算</w:t>
            </w:r>
          </w:p>
        </w:tc>
        <w:tc>
          <w:tcPr>
            <w:tcW w:w="10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国有资本经营预算</w:t>
            </w:r>
          </w:p>
        </w:tc>
        <w:tc>
          <w:tcPr>
            <w:tcW w:w="10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财政专户管理资金</w:t>
            </w:r>
          </w:p>
        </w:tc>
        <w:tc>
          <w:tcPr>
            <w:tcW w:w="128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单位资金</w:t>
            </w:r>
          </w:p>
        </w:tc>
      </w:tr>
      <w:tr>
        <w:tblPrEx>
          <w:tblCellMar>
            <w:top w:w="0" w:type="dxa"/>
            <w:left w:w="108" w:type="dxa"/>
            <w:bottom w:w="0" w:type="dxa"/>
            <w:right w:w="108" w:type="dxa"/>
          </w:tblCellMar>
        </w:tblPrEx>
        <w:trPr>
          <w:gridAfter w:val="1"/>
          <w:wAfter w:w="1566" w:type="dxa"/>
          <w:trHeight w:val="540" w:hRule="atLeast"/>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8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1566" w:type="dxa"/>
          <w:trHeight w:val="540" w:hRule="atLeast"/>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8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1566" w:type="dxa"/>
          <w:trHeight w:val="540" w:hRule="atLeast"/>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28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r>
      <w:tr>
        <w:tblPrEx>
          <w:tblCellMar>
            <w:top w:w="0" w:type="dxa"/>
            <w:left w:w="108" w:type="dxa"/>
            <w:bottom w:w="0" w:type="dxa"/>
            <w:right w:w="108" w:type="dxa"/>
          </w:tblCellMar>
        </w:tblPrEx>
        <w:trPr>
          <w:gridAfter w:val="1"/>
          <w:wAfter w:w="1566" w:type="dxa"/>
          <w:trHeight w:val="540" w:hRule="atLeast"/>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28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r>
      <w:tr>
        <w:tblPrEx>
          <w:tblCellMar>
            <w:top w:w="0" w:type="dxa"/>
            <w:left w:w="108" w:type="dxa"/>
            <w:bottom w:w="0" w:type="dxa"/>
            <w:right w:w="108" w:type="dxa"/>
          </w:tblCellMar>
        </w:tblPrEx>
        <w:trPr>
          <w:gridAfter w:val="1"/>
          <w:wAfter w:w="1566" w:type="dxa"/>
          <w:trHeight w:val="540" w:hRule="atLeast"/>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8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1566" w:type="dxa"/>
          <w:trHeight w:val="540" w:hRule="atLeast"/>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8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1566" w:type="dxa"/>
          <w:trHeight w:val="540" w:hRule="atLeast"/>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8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1566" w:type="dxa"/>
          <w:trHeight w:val="540" w:hRule="atLeast"/>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8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pStyle w:val="4"/>
        <w:adjustRightInd w:val="0"/>
        <w:snapToGrid w:val="0"/>
        <w:spacing w:before="0" w:beforeAutospacing="0" w:after="0" w:afterAutospacing="0" w:line="360" w:lineRule="auto"/>
        <w:jc w:val="both"/>
        <w:sectPr>
          <w:pgSz w:w="11906" w:h="16838"/>
          <w:pgMar w:top="1440" w:right="1797" w:bottom="1440" w:left="1797" w:header="851" w:footer="992" w:gutter="0"/>
          <w:cols w:space="425" w:num="1"/>
          <w:docGrid w:type="lines" w:linePitch="312" w:charSpace="0"/>
        </w:sectPr>
      </w:pPr>
      <w:r>
        <w:rPr>
          <w:rFonts w:hint="eastAsia"/>
        </w:rPr>
        <w:t>说明</w:t>
      </w:r>
      <w:r>
        <w:rPr>
          <w:rFonts w:hint="eastAsia"/>
          <w:color w:val="000000"/>
          <w:sz w:val="22"/>
        </w:rPr>
        <w:t>：宿松县工商联</w:t>
      </w:r>
      <w:r>
        <w:rPr>
          <w:rFonts w:hint="eastAsia"/>
        </w:rPr>
        <w:t>没有使用一般公共预算拨款、政府性基金预算拨款、国有资本经营预算拨款、财政专户管理资金和单位资金安排的政府采购支出，故本表无数据</w:t>
      </w:r>
      <w:r>
        <w:rPr>
          <w:rFonts w:hint="eastAsia"/>
          <w:color w:val="000000"/>
          <w:sz w:val="22"/>
        </w:rPr>
        <w:t>。</w:t>
      </w:r>
    </w:p>
    <w:p>
      <w:pPr>
        <w:pStyle w:val="4"/>
        <w:wordWrap w:val="0"/>
        <w:adjustRightInd w:val="0"/>
        <w:snapToGrid w:val="0"/>
        <w:spacing w:before="0" w:beforeAutospacing="0" w:after="0" w:afterAutospacing="0" w:line="360" w:lineRule="auto"/>
        <w:jc w:val="right"/>
        <w:rPr>
          <w:sz w:val="20"/>
          <w:szCs w:val="20"/>
        </w:rPr>
      </w:pPr>
    </w:p>
    <w:p>
      <w:pPr>
        <w:pStyle w:val="4"/>
        <w:adjustRightInd w:val="0"/>
        <w:snapToGrid w:val="0"/>
        <w:spacing w:before="0" w:beforeAutospacing="0" w:after="0" w:afterAutospacing="0" w:line="360" w:lineRule="auto"/>
        <w:jc w:val="right"/>
        <w:rPr>
          <w:sz w:val="20"/>
          <w:szCs w:val="20"/>
        </w:rPr>
      </w:pPr>
    </w:p>
    <w:p>
      <w:pPr>
        <w:pStyle w:val="4"/>
        <w:adjustRightInd w:val="0"/>
        <w:snapToGrid w:val="0"/>
        <w:spacing w:before="0" w:beforeAutospacing="0" w:after="0" w:afterAutospacing="0" w:line="360" w:lineRule="auto"/>
        <w:jc w:val="right"/>
        <w:rPr>
          <w:sz w:val="20"/>
          <w:szCs w:val="20"/>
        </w:rPr>
      </w:pPr>
    </w:p>
    <w:p>
      <w:pPr>
        <w:pStyle w:val="4"/>
        <w:adjustRightInd w:val="0"/>
        <w:snapToGrid w:val="0"/>
        <w:spacing w:before="0" w:beforeAutospacing="0" w:after="0" w:afterAutospacing="0" w:line="360" w:lineRule="auto"/>
        <w:jc w:val="right"/>
        <w:rPr>
          <w:sz w:val="20"/>
          <w:szCs w:val="20"/>
        </w:rPr>
      </w:pPr>
    </w:p>
    <w:p>
      <w:pPr>
        <w:pStyle w:val="4"/>
        <w:adjustRightInd w:val="0"/>
        <w:snapToGrid w:val="0"/>
        <w:spacing w:before="0" w:beforeAutospacing="0" w:after="0" w:afterAutospacing="0" w:line="360" w:lineRule="auto"/>
        <w:jc w:val="right"/>
        <w:rPr>
          <w:sz w:val="20"/>
          <w:szCs w:val="20"/>
        </w:rPr>
      </w:pPr>
      <w:r>
        <w:rPr>
          <w:rFonts w:hint="eastAsia"/>
          <w:sz w:val="20"/>
          <w:szCs w:val="20"/>
        </w:rPr>
        <w:t>部门公开表11</w:t>
      </w:r>
    </w:p>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宿松县工商联2021年政府购买服务支出表</w:t>
      </w:r>
    </w:p>
    <w:p/>
    <w:p>
      <w:pPr>
        <w:pStyle w:val="4"/>
        <w:wordWrap w:val="0"/>
        <w:adjustRightInd w:val="0"/>
        <w:snapToGrid w:val="0"/>
        <w:spacing w:before="0" w:beforeAutospacing="0" w:after="0" w:afterAutospacing="0" w:line="360" w:lineRule="auto"/>
        <w:jc w:val="right"/>
        <w:rPr>
          <w:sz w:val="20"/>
          <w:szCs w:val="20"/>
        </w:rPr>
      </w:pPr>
      <w:r>
        <w:rPr>
          <w:sz w:val="20"/>
          <w:szCs w:val="20"/>
        </w:rPr>
        <w:t xml:space="preserve">   </w:t>
      </w:r>
      <w:r>
        <w:rPr>
          <w:rFonts w:hint="eastAsia"/>
          <w:sz w:val="20"/>
          <w:szCs w:val="20"/>
        </w:rPr>
        <w:t xml:space="preserve"> 单位：万元</w:t>
      </w:r>
    </w:p>
    <w:tbl>
      <w:tblPr>
        <w:tblStyle w:val="5"/>
        <w:tblW w:w="11228" w:type="dxa"/>
        <w:jc w:val="center"/>
        <w:tblLayout w:type="fixed"/>
        <w:tblCellMar>
          <w:top w:w="0" w:type="dxa"/>
          <w:left w:w="108" w:type="dxa"/>
          <w:bottom w:w="0" w:type="dxa"/>
          <w:right w:w="108" w:type="dxa"/>
        </w:tblCellMar>
      </w:tblPr>
      <w:tblGrid>
        <w:gridCol w:w="1062"/>
        <w:gridCol w:w="1026"/>
        <w:gridCol w:w="1160"/>
        <w:gridCol w:w="1160"/>
        <w:gridCol w:w="1420"/>
        <w:gridCol w:w="1000"/>
        <w:gridCol w:w="880"/>
        <w:gridCol w:w="880"/>
        <w:gridCol w:w="880"/>
        <w:gridCol w:w="880"/>
        <w:gridCol w:w="880"/>
      </w:tblGrid>
      <w:tr>
        <w:tblPrEx>
          <w:tblCellMar>
            <w:top w:w="0" w:type="dxa"/>
            <w:left w:w="108" w:type="dxa"/>
            <w:bottom w:w="0" w:type="dxa"/>
            <w:right w:w="108" w:type="dxa"/>
          </w:tblCellMar>
        </w:tblPrEx>
        <w:trPr>
          <w:trHeight w:val="900" w:hRule="atLeast"/>
          <w:jc w:val="center"/>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购买方式</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购买服务起始时间</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购买服务截至时间</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拟实施政府购买服务内容（三级目录）</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8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w:t>
            </w:r>
          </w:p>
        </w:tc>
        <w:tc>
          <w:tcPr>
            <w:tcW w:w="8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政府性基金预算</w:t>
            </w:r>
          </w:p>
        </w:tc>
        <w:tc>
          <w:tcPr>
            <w:tcW w:w="8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国有资本经营预算</w:t>
            </w:r>
          </w:p>
        </w:tc>
        <w:tc>
          <w:tcPr>
            <w:tcW w:w="8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财政专户管理资金</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单位资金收入</w:t>
            </w:r>
          </w:p>
        </w:tc>
      </w:tr>
      <w:tr>
        <w:tblPrEx>
          <w:tblCellMar>
            <w:top w:w="0" w:type="dxa"/>
            <w:left w:w="108" w:type="dxa"/>
            <w:bottom w:w="0" w:type="dxa"/>
            <w:right w:w="108" w:type="dxa"/>
          </w:tblCellMar>
        </w:tblPrEx>
        <w:trPr>
          <w:trHeight w:val="465" w:hRule="atLeast"/>
          <w:jc w:val="center"/>
        </w:trPr>
        <w:tc>
          <w:tcPr>
            <w:tcW w:w="10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65" w:hRule="atLeast"/>
          <w:jc w:val="center"/>
        </w:trPr>
        <w:tc>
          <w:tcPr>
            <w:tcW w:w="1062"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26"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6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6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2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65" w:hRule="atLeast"/>
          <w:jc w:val="center"/>
        </w:trPr>
        <w:tc>
          <w:tcPr>
            <w:tcW w:w="10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65" w:hRule="atLeast"/>
          <w:jc w:val="center"/>
        </w:trPr>
        <w:tc>
          <w:tcPr>
            <w:tcW w:w="1062"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p>
        </w:tc>
        <w:tc>
          <w:tcPr>
            <w:tcW w:w="1026"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p>
        </w:tc>
        <w:tc>
          <w:tcPr>
            <w:tcW w:w="116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p>
        </w:tc>
        <w:tc>
          <w:tcPr>
            <w:tcW w:w="116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p>
        </w:tc>
        <w:tc>
          <w:tcPr>
            <w:tcW w:w="142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p>
        </w:tc>
      </w:tr>
    </w:tbl>
    <w:p>
      <w:pPr>
        <w:pStyle w:val="4"/>
        <w:adjustRightInd w:val="0"/>
        <w:snapToGrid w:val="0"/>
        <w:spacing w:before="0" w:beforeAutospacing="0" w:after="0" w:afterAutospacing="0" w:line="400" w:lineRule="exact"/>
        <w:jc w:val="both"/>
      </w:pPr>
      <w:r>
        <w:rPr>
          <w:rFonts w:hint="eastAsia"/>
        </w:rPr>
        <w:t>说明</w:t>
      </w:r>
      <w:r>
        <w:rPr>
          <w:rFonts w:hint="eastAsia"/>
          <w:color w:val="000000"/>
          <w:sz w:val="22"/>
        </w:rPr>
        <w:t>：</w:t>
      </w:r>
      <w:r>
        <w:rPr>
          <w:rFonts w:hint="eastAsia"/>
          <w:color w:val="000000"/>
          <w:szCs w:val="28"/>
        </w:rPr>
        <w:t>宿松县工商联</w:t>
      </w:r>
      <w:r>
        <w:rPr>
          <w:rFonts w:hint="eastAsia"/>
        </w:rPr>
        <w:t>没有使用一般公共预算拨款、政府性基金预算拨款、国有资本经营预算拨款、财政专户管理资金和单位资金安排的政府购买服务支出，故本表无数据。</w:t>
      </w: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2021年部门预算情况说明</w:t>
      </w:r>
    </w:p>
    <w:p>
      <w:pPr>
        <w:pStyle w:val="4"/>
        <w:adjustRightInd w:val="0"/>
        <w:snapToGrid w:val="0"/>
        <w:spacing w:before="0" w:beforeAutospacing="0" w:after="0" w:afterAutospacing="0" w:line="600" w:lineRule="exact"/>
        <w:rPr>
          <w:rFonts w:ascii="黑体" w:hAnsi="黑体" w:eastAsia="黑体"/>
          <w:bCs/>
          <w:sz w:val="32"/>
          <w:szCs w:val="32"/>
        </w:rPr>
      </w:pP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一、关于2021年收支总表的说明</w:t>
      </w:r>
    </w:p>
    <w:p>
      <w:pPr>
        <w:pStyle w:val="4"/>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按照综合预算的原则，宿松县工商联所有收入和支出均纳入部门预算管理。宿松县工商联2021年收支总预算90.45万元，收入全部是一般公共预算拨款收入，</w:t>
      </w:r>
      <w:r>
        <w:rPr>
          <w:rFonts w:hint="eastAsia" w:ascii="仿宋" w:hAnsi="仿宋" w:eastAsia="仿宋" w:cs="仿宋"/>
          <w:kern w:val="2"/>
          <w:sz w:val="32"/>
          <w:szCs w:val="32"/>
        </w:rPr>
        <w:t>支出</w:t>
      </w:r>
      <w:r>
        <w:rPr>
          <w:rFonts w:hint="eastAsia" w:ascii="仿宋_GB2312" w:hAnsi="仿宋" w:eastAsia="仿宋_GB2312"/>
          <w:sz w:val="32"/>
          <w:szCs w:val="32"/>
        </w:rPr>
        <w:t>全部是</w:t>
      </w:r>
      <w:r>
        <w:rPr>
          <w:rFonts w:hint="eastAsia" w:ascii="仿宋" w:hAnsi="仿宋" w:eastAsia="仿宋" w:cs="仿宋"/>
          <w:kern w:val="2"/>
          <w:sz w:val="32"/>
          <w:szCs w:val="32"/>
        </w:rPr>
        <w:t>一般公共服务支出</w:t>
      </w:r>
      <w:r>
        <w:rPr>
          <w:rFonts w:hint="eastAsia" w:ascii="仿宋_GB2312" w:hAnsi="仿宋" w:eastAsia="仿宋_GB2312"/>
          <w:sz w:val="32"/>
          <w:szCs w:val="32"/>
        </w:rPr>
        <w:t>。</w:t>
      </w:r>
    </w:p>
    <w:p>
      <w:pPr>
        <w:pStyle w:val="4"/>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二、关于2021年收入总表的说明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宿松县工商联2021年收入预算90.45万元，其中，本年收入90.45万元，上年结转结余0万元。</w:t>
      </w:r>
    </w:p>
    <w:p>
      <w:pPr>
        <w:widowControl/>
        <w:shd w:val="clear" w:color="auto" w:fill="FFFFFF"/>
        <w:spacing w:line="555" w:lineRule="atLeast"/>
        <w:ind w:firstLine="560"/>
        <w:jc w:val="left"/>
        <w:rPr>
          <w:rFonts w:ascii="仿宋_GB2312" w:hAnsi="仿宋" w:eastAsia="仿宋_GB2312"/>
          <w:sz w:val="32"/>
          <w:szCs w:val="32"/>
        </w:rPr>
      </w:pPr>
      <w:r>
        <w:rPr>
          <w:rFonts w:hint="eastAsia" w:ascii="仿宋_GB2312" w:hAnsi="仿宋" w:eastAsia="仿宋_GB2312"/>
          <w:sz w:val="32"/>
          <w:szCs w:val="32"/>
        </w:rPr>
        <w:t>（一）本年收入90.45万元，主要包括：一般公共预算拨款收入90.45万元，占</w:t>
      </w:r>
      <w:r>
        <w:rPr>
          <w:rFonts w:hint="eastAsia" w:ascii="仿宋" w:hAnsi="仿宋" w:eastAsia="仿宋" w:cs="仿宋"/>
          <w:sz w:val="32"/>
          <w:szCs w:val="32"/>
        </w:rPr>
        <w:t>100</w:t>
      </w:r>
      <w:r>
        <w:rPr>
          <w:rFonts w:hint="eastAsia" w:ascii="仿宋_GB2312" w:hAnsi="仿宋" w:eastAsia="仿宋_GB2312"/>
          <w:sz w:val="32"/>
          <w:szCs w:val="32"/>
        </w:rPr>
        <w:t>%，比2020年预算增长0.38万元，增长0.42%，增长原因主要是；机关事业单位基本养老保险缴费、职工基本医疗保险缴费增加。</w:t>
      </w:r>
    </w:p>
    <w:p>
      <w:pPr>
        <w:widowControl/>
        <w:shd w:val="clear" w:color="auto" w:fill="FFFFFF"/>
        <w:spacing w:line="555" w:lineRule="atLeast"/>
        <w:ind w:firstLine="560"/>
        <w:jc w:val="left"/>
        <w:rPr>
          <w:rFonts w:hint="eastAsia" w:ascii="仿宋_GB2312" w:hAnsi="仿宋" w:eastAsia="仿宋_GB2312"/>
          <w:sz w:val="32"/>
          <w:szCs w:val="32"/>
        </w:rPr>
      </w:pPr>
      <w:r>
        <w:rPr>
          <w:rFonts w:hint="eastAsia" w:ascii="仿宋_GB2312" w:hAnsi="仿宋" w:eastAsia="仿宋_GB2312"/>
          <w:sz w:val="32"/>
          <w:szCs w:val="32"/>
        </w:rPr>
        <w:t>（二）上年结转结余0万元。</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三、关于2021年支出总表的说明</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rPr>
        <w:t>宿松县工商联</w:t>
      </w:r>
      <w:r>
        <w:rPr>
          <w:rFonts w:hint="eastAsia" w:ascii="仿宋_GB2312" w:hAnsi="仿宋" w:eastAsia="仿宋_GB2312" w:cs="Times New Roman"/>
          <w:sz w:val="32"/>
          <w:szCs w:val="32"/>
        </w:rPr>
        <w:t>2021年支出预算</w:t>
      </w:r>
      <w:r>
        <w:rPr>
          <w:rFonts w:hint="eastAsia" w:ascii="仿宋_GB2312" w:hAnsi="仿宋" w:eastAsia="仿宋_GB2312"/>
          <w:sz w:val="32"/>
          <w:szCs w:val="32"/>
        </w:rPr>
        <w:t>90.45</w:t>
      </w:r>
      <w:r>
        <w:rPr>
          <w:rFonts w:hint="eastAsia" w:ascii="仿宋_GB2312" w:hAnsi="仿宋" w:eastAsia="仿宋_GB2312" w:cs="Times New Roman"/>
          <w:sz w:val="32"/>
          <w:szCs w:val="32"/>
        </w:rPr>
        <w:t>万元，比2020年预算增加</w:t>
      </w:r>
      <w:r>
        <w:rPr>
          <w:rFonts w:hint="eastAsia" w:ascii="仿宋_GB2312" w:hAnsi="仿宋" w:eastAsia="仿宋_GB2312"/>
          <w:sz w:val="32"/>
          <w:szCs w:val="32"/>
        </w:rPr>
        <w:t>0.38</w:t>
      </w:r>
      <w:r>
        <w:rPr>
          <w:rFonts w:hint="eastAsia" w:ascii="仿宋_GB2312" w:hAnsi="仿宋" w:eastAsia="仿宋_GB2312" w:cs="Times New Roman"/>
          <w:sz w:val="32"/>
          <w:szCs w:val="32"/>
        </w:rPr>
        <w:t>万元，</w:t>
      </w:r>
      <w:r>
        <w:rPr>
          <w:rFonts w:hint="eastAsia" w:ascii="仿宋_GB2312" w:hAnsi="仿宋" w:eastAsia="仿宋_GB2312"/>
          <w:sz w:val="32"/>
          <w:szCs w:val="32"/>
        </w:rPr>
        <w:t>增长0.42%</w:t>
      </w:r>
      <w:r>
        <w:rPr>
          <w:rFonts w:hint="eastAsia" w:ascii="仿宋_GB2312" w:hAnsi="仿宋" w:eastAsia="仿宋_GB2312" w:cs="Times New Roman"/>
          <w:sz w:val="32"/>
          <w:szCs w:val="32"/>
        </w:rPr>
        <w:t>，</w:t>
      </w:r>
      <w:r>
        <w:rPr>
          <w:rFonts w:hint="eastAsia" w:ascii="仿宋_GB2312" w:hAnsi="仿宋" w:eastAsia="仿宋_GB2312"/>
          <w:sz w:val="32"/>
          <w:szCs w:val="32"/>
        </w:rPr>
        <w:t>增长原因主要是；机关事业单位基本养老保险缴费、职工基本医疗保险缴费增加。其中，基本支出90.45万元，占100%，主要用于保障机构日常运</w:t>
      </w:r>
      <w:r>
        <w:rPr>
          <w:rFonts w:hint="eastAsia" w:ascii="仿宋_GB2312" w:hAnsi="仿宋" w:eastAsia="仿宋_GB2312" w:cs="Times New Roman"/>
          <w:sz w:val="32"/>
          <w:szCs w:val="32"/>
        </w:rPr>
        <w:t>转、完成日常工作任务。</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四、关于2021年财政拨款收支总表的说明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sz w:val="32"/>
          <w:szCs w:val="32"/>
        </w:rPr>
        <w:t>宿松县工商联</w:t>
      </w:r>
      <w:r>
        <w:rPr>
          <w:rFonts w:hint="eastAsia" w:ascii="仿宋_GB2312" w:hAnsi="仿宋" w:eastAsia="仿宋_GB2312" w:cs="Times New Roman"/>
          <w:kern w:val="2"/>
          <w:sz w:val="32"/>
          <w:szCs w:val="32"/>
        </w:rPr>
        <w:t>2021年财政拨款收支预算</w:t>
      </w:r>
      <w:r>
        <w:rPr>
          <w:rFonts w:hint="eastAsia" w:ascii="仿宋_GB2312" w:hAnsi="仿宋" w:eastAsia="仿宋_GB2312"/>
          <w:sz w:val="32"/>
          <w:szCs w:val="32"/>
        </w:rPr>
        <w:t>90.45</w:t>
      </w:r>
      <w:r>
        <w:rPr>
          <w:rFonts w:hint="eastAsia" w:ascii="仿宋_GB2312" w:hAnsi="仿宋" w:eastAsia="仿宋_GB2312" w:cs="Times New Roman"/>
          <w:kern w:val="2"/>
          <w:sz w:val="32"/>
          <w:szCs w:val="32"/>
        </w:rPr>
        <w:t>万元。收入按资金来源全部为一般公共预算拨款；按资金年度分为：本年财政拨款收入</w:t>
      </w:r>
      <w:r>
        <w:rPr>
          <w:rFonts w:ascii="仿宋_GB2312" w:hAnsi="仿宋" w:eastAsia="仿宋_GB2312" w:cs="Times New Roman"/>
          <w:kern w:val="2"/>
          <w:sz w:val="32"/>
          <w:szCs w:val="32"/>
        </w:rPr>
        <w:t>90.45</w:t>
      </w:r>
      <w:r>
        <w:rPr>
          <w:rFonts w:hint="eastAsia" w:ascii="仿宋_GB2312" w:hAnsi="仿宋" w:eastAsia="仿宋_GB2312" w:cs="Times New Roman"/>
          <w:kern w:val="2"/>
          <w:sz w:val="32"/>
          <w:szCs w:val="32"/>
        </w:rPr>
        <w:t>万元，上年结转</w:t>
      </w:r>
      <w:r>
        <w:rPr>
          <w:rFonts w:ascii="仿宋_GB2312" w:hAnsi="仿宋" w:eastAsia="仿宋_GB2312" w:cs="Times New Roman"/>
          <w:kern w:val="2"/>
          <w:sz w:val="32"/>
          <w:szCs w:val="32"/>
        </w:rPr>
        <w:t>0</w:t>
      </w:r>
      <w:r>
        <w:rPr>
          <w:rFonts w:hint="eastAsia" w:ascii="仿宋_GB2312" w:hAnsi="仿宋" w:eastAsia="仿宋_GB2312" w:cs="Times New Roman"/>
          <w:kern w:val="2"/>
          <w:sz w:val="32"/>
          <w:szCs w:val="32"/>
        </w:rPr>
        <w:t>万元。支出按功能分类全部为一般公共服务支出</w:t>
      </w:r>
      <w:r>
        <w:rPr>
          <w:rFonts w:hint="eastAsia" w:ascii="仿宋_GB2312" w:hAnsi="仿宋" w:eastAsia="仿宋_GB2312"/>
          <w:sz w:val="32"/>
          <w:szCs w:val="32"/>
        </w:rPr>
        <w:t>90.45</w:t>
      </w:r>
      <w:r>
        <w:rPr>
          <w:rFonts w:hint="eastAsia" w:ascii="仿宋_GB2312" w:hAnsi="仿宋" w:eastAsia="仿宋_GB2312" w:cs="Times New Roman"/>
          <w:kern w:val="2"/>
          <w:sz w:val="32"/>
          <w:szCs w:val="32"/>
        </w:rPr>
        <w:t>万元，占100%。</w:t>
      </w: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五、关于2021年一般公共预算支出表的说明</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sz w:val="32"/>
          <w:szCs w:val="32"/>
        </w:rPr>
        <w:t>宿松县工商联</w:t>
      </w:r>
      <w:r>
        <w:rPr>
          <w:rFonts w:hint="eastAsia" w:ascii="仿宋_GB2312" w:hAnsi="仿宋" w:eastAsia="仿宋_GB2312" w:cs="Times New Roman"/>
          <w:kern w:val="2"/>
          <w:sz w:val="32"/>
          <w:szCs w:val="32"/>
        </w:rPr>
        <w:t>2021年一般公共预算支出</w:t>
      </w:r>
      <w:r>
        <w:rPr>
          <w:rFonts w:hint="eastAsia" w:ascii="仿宋_GB2312" w:hAnsi="仿宋" w:eastAsia="仿宋_GB2312"/>
          <w:sz w:val="32"/>
          <w:szCs w:val="32"/>
        </w:rPr>
        <w:t>90.45</w:t>
      </w:r>
      <w:r>
        <w:rPr>
          <w:rFonts w:hint="eastAsia" w:ascii="仿宋_GB2312" w:hAnsi="仿宋" w:eastAsia="仿宋_GB2312" w:cs="Times New Roman"/>
          <w:kern w:val="2"/>
          <w:sz w:val="32"/>
          <w:szCs w:val="32"/>
        </w:rPr>
        <w:t>万元，比2020年预算增加</w:t>
      </w:r>
      <w:r>
        <w:rPr>
          <w:rFonts w:hint="eastAsia" w:ascii="仿宋_GB2312" w:hAnsi="仿宋" w:eastAsia="仿宋_GB2312"/>
          <w:sz w:val="32"/>
          <w:szCs w:val="32"/>
        </w:rPr>
        <w:t>0.38</w:t>
      </w:r>
      <w:r>
        <w:rPr>
          <w:rFonts w:hint="eastAsia" w:ascii="仿宋_GB2312" w:hAnsi="仿宋" w:eastAsia="仿宋_GB2312" w:cs="Times New Roman"/>
          <w:kern w:val="2"/>
          <w:sz w:val="32"/>
          <w:szCs w:val="32"/>
        </w:rPr>
        <w:t>万元，增长</w:t>
      </w:r>
      <w:r>
        <w:rPr>
          <w:rFonts w:hint="eastAsia" w:ascii="仿宋_GB2312" w:hAnsi="仿宋" w:eastAsia="仿宋_GB2312"/>
          <w:sz w:val="32"/>
          <w:szCs w:val="32"/>
        </w:rPr>
        <w:t>0.42%</w:t>
      </w:r>
      <w:r>
        <w:rPr>
          <w:rFonts w:hint="eastAsia" w:ascii="仿宋_GB2312" w:hAnsi="仿宋" w:eastAsia="仿宋_GB2312" w:cs="Times New Roman"/>
          <w:kern w:val="2"/>
          <w:sz w:val="32"/>
          <w:szCs w:val="32"/>
        </w:rPr>
        <w:t>，主要原因：机关事业单位基本养老保险缴费、职工基本医疗保险缴费增加。</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一般公共服务支出</w:t>
      </w:r>
      <w:r>
        <w:rPr>
          <w:rFonts w:hint="eastAsia" w:ascii="仿宋_GB2312" w:hAnsi="仿宋" w:eastAsia="仿宋_GB2312"/>
          <w:sz w:val="32"/>
          <w:szCs w:val="32"/>
        </w:rPr>
        <w:t>90.45</w:t>
      </w:r>
      <w:r>
        <w:rPr>
          <w:rFonts w:hint="eastAsia" w:ascii="仿宋_GB2312" w:hAnsi="仿宋" w:eastAsia="仿宋_GB2312" w:cs="Times New Roman"/>
          <w:kern w:val="2"/>
          <w:sz w:val="32"/>
          <w:szCs w:val="32"/>
        </w:rPr>
        <w:t>万元，占100%。</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w:t>
      </w:r>
      <w:r>
        <w:rPr>
          <w:rFonts w:hint="eastAsia" w:ascii="仿宋_GB2312" w:hAnsi="仿宋"/>
          <w:b/>
          <w:szCs w:val="32"/>
        </w:rPr>
        <w:t xml:space="preserve"> </w:t>
      </w:r>
      <w:r>
        <w:rPr>
          <w:rFonts w:hint="eastAsia" w:ascii="仿宋_GB2312" w:hAnsi="仿宋" w:eastAsia="仿宋_GB2312"/>
          <w:b/>
          <w:sz w:val="32"/>
          <w:szCs w:val="32"/>
        </w:rPr>
        <w:t>一般公共服务支出（类）民主党派及工商联事务（款）行政运行（项）</w:t>
      </w:r>
      <w:r>
        <w:rPr>
          <w:rFonts w:hint="eastAsia" w:ascii="仿宋_GB2312" w:hAnsi="仿宋" w:eastAsia="仿宋_GB2312"/>
          <w:sz w:val="32"/>
          <w:szCs w:val="32"/>
        </w:rPr>
        <w:t>2021年预算90.45万元，比2020年预算增加0.38</w:t>
      </w:r>
      <w:r>
        <w:rPr>
          <w:rFonts w:hint="eastAsia" w:ascii="仿宋_GB2312" w:hAnsi="仿宋" w:eastAsia="仿宋_GB2312" w:cs="Times New Roman"/>
          <w:sz w:val="32"/>
          <w:szCs w:val="32"/>
        </w:rPr>
        <w:t>万元，增长</w:t>
      </w:r>
      <w:r>
        <w:rPr>
          <w:rFonts w:hint="eastAsia" w:ascii="仿宋_GB2312" w:hAnsi="仿宋" w:eastAsia="仿宋_GB2312"/>
          <w:sz w:val="32"/>
          <w:szCs w:val="32"/>
        </w:rPr>
        <w:t>0.42%</w:t>
      </w:r>
      <w:r>
        <w:rPr>
          <w:rFonts w:hint="eastAsia" w:ascii="仿宋_GB2312" w:hAnsi="仿宋" w:eastAsia="仿宋_GB2312" w:cs="Times New Roman"/>
          <w:sz w:val="32"/>
          <w:szCs w:val="32"/>
        </w:rPr>
        <w:t>，主要原因：机关事业单位基本养老保险缴费、职工基本医疗保险缴费增加。</w:t>
      </w:r>
    </w:p>
    <w:p>
      <w:pPr>
        <w:pStyle w:val="4"/>
        <w:adjustRightInd w:val="0"/>
        <w:snapToGrid w:val="0"/>
        <w:spacing w:before="0" w:beforeAutospacing="0" w:after="0" w:afterAutospacing="0" w:line="600" w:lineRule="exact"/>
        <w:ind w:firstLine="640" w:firstLineChars="200"/>
        <w:rPr>
          <w:rFonts w:ascii="黑体" w:eastAsia="黑体"/>
          <w:color w:val="000000" w:themeColor="text1"/>
          <w14:textFill>
            <w14:solidFill>
              <w14:schemeClr w14:val="tx1"/>
            </w14:solidFill>
          </w14:textFill>
        </w:rPr>
      </w:pPr>
      <w:r>
        <w:rPr>
          <w:rFonts w:hint="eastAsia" w:ascii="黑体" w:hAnsi="仿宋" w:eastAsia="黑体" w:cs="Times New Roman"/>
          <w:color w:val="000000" w:themeColor="text1"/>
          <w:kern w:val="2"/>
          <w:sz w:val="32"/>
          <w:szCs w:val="32"/>
          <w14:textFill>
            <w14:solidFill>
              <w14:schemeClr w14:val="tx1"/>
            </w14:solidFill>
          </w14:textFill>
        </w:rPr>
        <w:t>六、关于2021年一般公共预算基本支出表的说明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宿松县工商联2021年一般公共预算基本支出90.45万元，其中，人员经费49.80万元，公用经费40.65万元。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49.80万元，主要包括:基本工资、津贴补贴、奖金、伙食补助费、绩效工资、机关事业单位基本养老保险费、职业年金缴费、职工基本医疗保险缴费、公务员医疗补助缴费、其他社会保障缴费、住房公积金、医疗费、其他工资福利支出、生活补助、医疗费补助。</w:t>
      </w:r>
    </w:p>
    <w:p>
      <w:pPr>
        <w:ind w:firstLine="640" w:firstLineChars="200"/>
        <w:rPr>
          <w:rFonts w:ascii="仿宋_GB2312" w:hAnsi="仿宋" w:eastAsia="仿宋_GB2312"/>
          <w:sz w:val="32"/>
          <w:szCs w:val="32"/>
        </w:rPr>
      </w:pPr>
      <w:r>
        <w:rPr>
          <w:rFonts w:hint="eastAsia" w:ascii="仿宋_GB2312" w:hAnsi="仿宋" w:eastAsia="仿宋_GB2312"/>
          <w:sz w:val="32"/>
          <w:szCs w:val="32"/>
        </w:rPr>
        <w:t>（二）公用经费40.65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其他商品服务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七、关于2021年政府性基金预算支出表的说明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宿松县工商联2021年没有政府性基金预算拨款收入，也没有使用政府性基金预算拨款安排的支出。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八、关于2021年国有资本经营预算支出表的说明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宿松县工商联2021年没有国有资本经营预算拨款收入，也没有使用国有资本经营预算拨款安排的支出。</w:t>
      </w:r>
    </w:p>
    <w:p>
      <w:pPr>
        <w:pStyle w:val="4"/>
        <w:adjustRightInd w:val="0"/>
        <w:snapToGrid w:val="0"/>
        <w:spacing w:before="0" w:beforeAutospacing="0" w:after="0" w:afterAutospacing="0" w:line="600" w:lineRule="exact"/>
        <w:ind w:firstLine="640" w:firstLineChars="200"/>
        <w:rPr>
          <w:rFonts w:ascii="楷体_GB2312" w:hAnsi="仿宋" w:eastAsia="楷体_GB2312" w:cs="Times New Roman"/>
          <w:color w:val="FF0000"/>
          <w:kern w:val="2"/>
          <w:sz w:val="32"/>
          <w:szCs w:val="32"/>
        </w:rPr>
      </w:pPr>
      <w:r>
        <w:rPr>
          <w:rFonts w:hint="eastAsia" w:ascii="黑体" w:hAnsi="仿宋" w:eastAsia="黑体"/>
          <w:sz w:val="32"/>
          <w:szCs w:val="32"/>
        </w:rPr>
        <w:t>九、关于2021年项目支出表的说明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宿松县工商联2021年没有使用一般公共预算拨款、政府性基金预算拨款、国有资本经营预算拨款、财政专户管理资金和单位资金安排的项目支出。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十、关于2021年政府采购支出表的说明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宿松县工商联2021年没有使用一般公共预算拨款、政府性基金预算拨款、国有资本经营预算拨款、财政专户管理资金和单位资金安排的政府采购支出。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十一、关于2021年政府购买服务支出表的说明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宿松县工商联2021年没有使用一般公共预算拨款、政府性基金预算拨款、国有资本经营预算拨款、财政专户管理资金和单位资金安排的政府购买服务支出。</w:t>
      </w:r>
    </w:p>
    <w:p>
      <w:pPr>
        <w:numPr>
          <w:ilvl w:val="0"/>
          <w:numId w:val="1"/>
        </w:num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其他重要事项情况说明</w:t>
      </w:r>
    </w:p>
    <w:p>
      <w:pPr>
        <w:adjustRightInd w:val="0"/>
        <w:snapToGrid w:val="0"/>
        <w:spacing w:line="600" w:lineRule="exact"/>
        <w:ind w:firstLine="640" w:firstLineChars="200"/>
        <w:rPr>
          <w:rFonts w:ascii="仿宋_GB2312" w:hAnsi="楷体" w:eastAsia="仿宋_GB2312"/>
          <w:b/>
          <w:sz w:val="32"/>
          <w:szCs w:val="32"/>
        </w:rPr>
      </w:pPr>
      <w:r>
        <w:rPr>
          <w:rFonts w:hint="eastAsia" w:ascii="黑体" w:hAnsi="黑体" w:eastAsia="黑体"/>
          <w:sz w:val="32"/>
          <w:szCs w:val="32"/>
        </w:rPr>
        <w:t xml:space="preserve"> </w:t>
      </w:r>
      <w:r>
        <w:rPr>
          <w:rFonts w:hint="eastAsia" w:ascii="仿宋_GB2312" w:hAnsi="楷体" w:eastAsia="仿宋_GB2312"/>
          <w:b/>
          <w:sz w:val="32"/>
          <w:szCs w:val="32"/>
        </w:rPr>
        <w:t>（一）绩效目标设置情况。</w:t>
      </w:r>
    </w:p>
    <w:p>
      <w:pPr>
        <w:adjustRightInd w:val="0"/>
        <w:snapToGrid w:val="0"/>
        <w:spacing w:line="600" w:lineRule="exact"/>
        <w:ind w:firstLine="640" w:firstLineChars="200"/>
        <w:rPr>
          <w:rFonts w:ascii="仿宋_GB2312" w:hAnsi="楷体" w:eastAsia="仿宋_GB2312"/>
          <w:sz w:val="32"/>
          <w:szCs w:val="32"/>
        </w:rPr>
      </w:pPr>
      <w:r>
        <w:rPr>
          <w:rFonts w:hint="eastAsia" w:ascii="黑体" w:hAnsi="黑体" w:eastAsia="黑体"/>
          <w:sz w:val="32"/>
          <w:szCs w:val="32"/>
        </w:rPr>
        <w:t xml:space="preserve">  </w:t>
      </w:r>
      <w:r>
        <w:rPr>
          <w:rFonts w:hint="eastAsia" w:ascii="仿宋_GB2312" w:hAnsi="仿宋" w:eastAsia="仿宋_GB2312"/>
          <w:bCs/>
          <w:sz w:val="32"/>
          <w:szCs w:val="32"/>
        </w:rPr>
        <w:t>宿松县</w:t>
      </w:r>
      <w:r>
        <w:rPr>
          <w:rFonts w:hint="eastAsia" w:ascii="仿宋_GB2312" w:hAnsi="仿宋" w:eastAsia="仿宋_GB2312"/>
          <w:sz w:val="32"/>
          <w:szCs w:val="32"/>
        </w:rPr>
        <w:t>工商联</w:t>
      </w:r>
      <w:r>
        <w:rPr>
          <w:rFonts w:hint="eastAsia" w:ascii="仿宋_GB2312" w:hAnsi="楷体" w:eastAsia="仿宋_GB2312"/>
          <w:sz w:val="32"/>
          <w:szCs w:val="32"/>
        </w:rPr>
        <w:t xml:space="preserve"> 2021年部门预算按规定设置整体支出绩效目标，实行部门评价。</w:t>
      </w:r>
    </w:p>
    <w:p>
      <w:pPr>
        <w:adjustRightInd w:val="0"/>
        <w:snapToGrid w:val="0"/>
        <w:spacing w:line="600" w:lineRule="exact"/>
        <w:ind w:firstLine="640" w:firstLineChars="200"/>
        <w:rPr>
          <w:rFonts w:ascii="仿宋_GB2312" w:hAnsi="楷体" w:eastAsia="仿宋_GB2312"/>
          <w:b/>
          <w:sz w:val="32"/>
          <w:szCs w:val="32"/>
        </w:rPr>
      </w:pPr>
      <w:r>
        <w:rPr>
          <w:rFonts w:hint="eastAsia" w:ascii="黑体" w:hAnsi="黑体" w:eastAsia="黑体"/>
          <w:sz w:val="32"/>
          <w:szCs w:val="32"/>
        </w:rPr>
        <w:t>1、</w:t>
      </w:r>
      <w:r>
        <w:rPr>
          <w:rFonts w:hint="eastAsia" w:ascii="仿宋_GB2312" w:hAnsi="楷体" w:eastAsia="仿宋_GB2312"/>
          <w:b/>
          <w:sz w:val="32"/>
          <w:szCs w:val="32"/>
        </w:rPr>
        <w:t>部门整体支出绩效目标设置情况。</w:t>
      </w:r>
    </w:p>
    <w:p>
      <w:pPr>
        <w:spacing w:line="600" w:lineRule="exact"/>
        <w:ind w:firstLine="642"/>
        <w:rPr>
          <w:rFonts w:ascii="仿宋_GB2312" w:hAnsi="楷体" w:eastAsia="仿宋_GB2312"/>
          <w:b/>
          <w:bCs/>
          <w:sz w:val="32"/>
          <w:szCs w:val="32"/>
        </w:rPr>
      </w:pPr>
      <w:r>
        <w:rPr>
          <w:rFonts w:hint="eastAsia" w:ascii="仿宋_GB2312" w:hAnsi="楷体" w:eastAsia="仿宋_GB2312"/>
          <w:b/>
          <w:bCs/>
          <w:sz w:val="32"/>
          <w:szCs w:val="32"/>
        </w:rPr>
        <w:t>（1）部门概述及工作职责。</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部门概述：宿松县工商联是本级预算单位，参照公务员管理、财政实行全额拨款、独立核算。内设1个办公室,在职5人、退休1人。2020年度部门预算包括本单位，纳入部门预算编制范围的单位共1个。</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工作职责：</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（一）团结、服务、引导、教育非公有制经济人士爱国、敬业、诚信、守法、贡献，培养拥护党的领导、走中国特色社会主义道路的非公有制经济人士队伍。</w:t>
      </w:r>
      <w:r>
        <w:rPr>
          <w:rFonts w:hint="eastAsia" w:ascii="仿宋" w:hAnsi="仿宋" w:eastAsia="仿宋" w:cs="仿宋"/>
          <w:sz w:val="32"/>
          <w:szCs w:val="32"/>
        </w:rPr>
        <w:br w:type="textWrapping"/>
      </w:r>
      <w:r>
        <w:rPr>
          <w:rFonts w:hint="eastAsia" w:ascii="仿宋" w:hAnsi="仿宋" w:eastAsia="仿宋" w:cs="仿宋"/>
          <w:sz w:val="32"/>
          <w:szCs w:val="32"/>
        </w:rPr>
        <w:t xml:space="preserve">   （二）做好非公有制经济代表人士政治安排的推荐工作。参与政治协商，发挥民主监督作用，积极参政议政。</w:t>
      </w:r>
      <w:r>
        <w:rPr>
          <w:rFonts w:hint="eastAsia" w:ascii="仿宋" w:hAnsi="仿宋" w:eastAsia="仿宋" w:cs="仿宋"/>
          <w:sz w:val="32"/>
          <w:szCs w:val="32"/>
        </w:rPr>
        <w:br w:type="textWrapping"/>
      </w:r>
      <w:r>
        <w:rPr>
          <w:rFonts w:hint="eastAsia" w:ascii="仿宋" w:hAnsi="仿宋" w:eastAsia="仿宋" w:cs="仿宋"/>
          <w:sz w:val="32"/>
          <w:szCs w:val="32"/>
        </w:rPr>
        <w:t xml:space="preserve">   （三）参与政府相关的经济活动，广泛联系各地工商界人士，开展民间外交，推动经贸交流和协作，促进经济社会发展。</w:t>
      </w:r>
      <w:r>
        <w:rPr>
          <w:rFonts w:hint="eastAsia" w:ascii="仿宋" w:hAnsi="仿宋" w:eastAsia="仿宋" w:cs="仿宋"/>
          <w:sz w:val="32"/>
          <w:szCs w:val="32"/>
        </w:rPr>
        <w:br w:type="textWrapping"/>
      </w:r>
      <w:r>
        <w:rPr>
          <w:rFonts w:hint="eastAsia" w:ascii="仿宋" w:hAnsi="仿宋" w:eastAsia="仿宋" w:cs="仿宋"/>
          <w:sz w:val="32"/>
          <w:szCs w:val="32"/>
        </w:rPr>
        <w:t xml:space="preserve">   （四）参与协调劳动关系，促进和谐社会建设。</w:t>
      </w:r>
      <w:r>
        <w:rPr>
          <w:rFonts w:hint="eastAsia" w:ascii="仿宋" w:hAnsi="仿宋" w:eastAsia="仿宋" w:cs="仿宋"/>
          <w:sz w:val="32"/>
          <w:szCs w:val="32"/>
        </w:rPr>
        <w:br w:type="textWrapping"/>
      </w:r>
      <w:r>
        <w:rPr>
          <w:rFonts w:hint="eastAsia" w:ascii="仿宋" w:hAnsi="仿宋" w:eastAsia="仿宋" w:cs="仿宋"/>
          <w:sz w:val="32"/>
          <w:szCs w:val="32"/>
        </w:rPr>
        <w:t xml:space="preserve">   （五）指导本会直属商会工作，积极参与社会组织建设工作，促进行业协会商会改革发展。</w:t>
      </w:r>
      <w:r>
        <w:rPr>
          <w:rFonts w:hint="eastAsia" w:ascii="仿宋" w:hAnsi="仿宋" w:eastAsia="仿宋" w:cs="仿宋"/>
          <w:sz w:val="32"/>
          <w:szCs w:val="32"/>
        </w:rPr>
        <w:br w:type="textWrapping"/>
      </w:r>
      <w:r>
        <w:rPr>
          <w:rFonts w:hint="eastAsia" w:ascii="仿宋" w:hAnsi="仿宋" w:eastAsia="仿宋" w:cs="仿宋"/>
          <w:sz w:val="32"/>
          <w:szCs w:val="32"/>
        </w:rPr>
        <w:t xml:space="preserve">   （六）反映非公有制企业和非公有制经济人士利益诉求，维护其合法权益。</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（七）为会员提供政策信息、人才交流培训等服务。组织会员企业参加各类经贸活动，外出参观考察，帮助会员企业拓展市场。</w:t>
      </w:r>
      <w:r>
        <w:rPr>
          <w:rFonts w:hint="eastAsia" w:ascii="仿宋" w:hAnsi="仿宋" w:eastAsia="仿宋" w:cs="仿宋"/>
          <w:sz w:val="32"/>
          <w:szCs w:val="32"/>
        </w:rPr>
        <w:br w:type="textWrapping"/>
      </w:r>
      <w:r>
        <w:rPr>
          <w:rFonts w:hint="eastAsia" w:ascii="仿宋" w:hAnsi="仿宋" w:eastAsia="仿宋" w:cs="仿宋"/>
          <w:sz w:val="32"/>
          <w:szCs w:val="32"/>
        </w:rPr>
        <w:t xml:space="preserve">   （八）配合有关部门开展非公有制会员企业党建工作。</w:t>
      </w:r>
      <w:r>
        <w:rPr>
          <w:rFonts w:hint="eastAsia" w:ascii="仿宋" w:hAnsi="仿宋" w:eastAsia="仿宋" w:cs="仿宋"/>
          <w:sz w:val="32"/>
          <w:szCs w:val="32"/>
        </w:rPr>
        <w:br w:type="textWrapping"/>
      </w:r>
      <w:r>
        <w:rPr>
          <w:rFonts w:hint="eastAsia" w:ascii="仿宋" w:hAnsi="仿宋" w:eastAsia="仿宋" w:cs="仿宋"/>
          <w:sz w:val="32"/>
          <w:szCs w:val="32"/>
        </w:rPr>
        <w:t xml:space="preserve">   （九）积极引导非公有制企业及其非公有制经济人士承担社会责任，大力支持慈善公益事业发展，积极投身光彩事业。</w:t>
      </w:r>
      <w:r>
        <w:rPr>
          <w:rFonts w:hint="eastAsia" w:ascii="仿宋" w:hAnsi="仿宋" w:eastAsia="仿宋" w:cs="仿宋"/>
          <w:sz w:val="32"/>
          <w:szCs w:val="32"/>
        </w:rPr>
        <w:br w:type="textWrapping"/>
      </w:r>
      <w:r>
        <w:rPr>
          <w:rFonts w:hint="eastAsia" w:ascii="仿宋" w:hAnsi="仿宋" w:eastAsia="仿宋" w:cs="仿宋"/>
          <w:sz w:val="32"/>
          <w:szCs w:val="32"/>
        </w:rPr>
        <w:t xml:space="preserve">   （十）承办县委、县政府和上级工商联交办的其它任务。</w:t>
      </w:r>
    </w:p>
    <w:p>
      <w:pPr>
        <w:adjustRightInd w:val="0"/>
        <w:snapToGrid w:val="0"/>
        <w:spacing w:line="600" w:lineRule="exact"/>
        <w:ind w:firstLine="643" w:firstLineChars="200"/>
        <w:rPr>
          <w:rFonts w:ascii="仿宋_GB2312" w:hAnsi="仿宋" w:eastAsia="仿宋_GB2312"/>
          <w:sz w:val="32"/>
          <w:szCs w:val="32"/>
        </w:rPr>
      </w:pPr>
      <w:r>
        <w:rPr>
          <w:rFonts w:hint="eastAsia" w:ascii="仿宋" w:hAnsi="仿宋" w:eastAsia="仿宋" w:cs="仿宋"/>
          <w:b/>
          <w:bCs/>
          <w:sz w:val="32"/>
          <w:szCs w:val="32"/>
        </w:rPr>
        <w:t>（2）年度预算安排</w:t>
      </w:r>
      <w:r>
        <w:rPr>
          <w:rFonts w:hint="eastAsia" w:ascii="仿宋" w:hAnsi="仿宋" w:eastAsia="仿宋" w:cs="仿宋"/>
          <w:sz w:val="32"/>
          <w:szCs w:val="32"/>
        </w:rPr>
        <w:t>:</w:t>
      </w:r>
      <w:r>
        <w:rPr>
          <w:rFonts w:hint="eastAsia" w:ascii="仿宋" w:hAnsi="仿宋" w:eastAsia="仿宋" w:cs="仿宋"/>
          <w:bCs/>
          <w:sz w:val="32"/>
          <w:szCs w:val="32"/>
        </w:rPr>
        <w:t>2021年预算</w:t>
      </w:r>
      <w:r>
        <w:rPr>
          <w:rFonts w:hint="eastAsia" w:ascii="仿宋" w:hAnsi="仿宋" w:eastAsia="仿宋" w:cs="仿宋"/>
          <w:kern w:val="0"/>
          <w:sz w:val="32"/>
          <w:szCs w:val="32"/>
        </w:rPr>
        <w:t>90.45</w:t>
      </w:r>
      <w:r>
        <w:rPr>
          <w:rFonts w:hint="eastAsia" w:ascii="仿宋" w:hAnsi="仿宋" w:eastAsia="仿宋" w:cs="仿宋"/>
          <w:bCs/>
          <w:sz w:val="32"/>
          <w:szCs w:val="32"/>
        </w:rPr>
        <w:t>万元，为一般公共预算拨款9</w:t>
      </w:r>
      <w:r>
        <w:rPr>
          <w:rFonts w:ascii="仿宋" w:hAnsi="仿宋" w:eastAsia="仿宋" w:cs="仿宋"/>
          <w:bCs/>
          <w:sz w:val="32"/>
          <w:szCs w:val="32"/>
        </w:rPr>
        <w:t>0.45</w:t>
      </w:r>
      <w:r>
        <w:rPr>
          <w:rFonts w:hint="eastAsia" w:ascii="仿宋" w:hAnsi="仿宋" w:eastAsia="仿宋" w:cs="仿宋"/>
          <w:bCs/>
          <w:sz w:val="32"/>
          <w:szCs w:val="32"/>
        </w:rPr>
        <w:t>万元</w:t>
      </w:r>
      <w:r>
        <w:rPr>
          <w:rFonts w:hint="eastAsia" w:ascii="仿宋" w:hAnsi="仿宋" w:eastAsia="仿宋" w:cs="仿宋"/>
          <w:sz w:val="30"/>
          <w:szCs w:val="30"/>
        </w:rPr>
        <w:t>。</w:t>
      </w:r>
    </w:p>
    <w:p>
      <w:pPr>
        <w:widowControl/>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（3）绩效目标和指标。</w:t>
      </w:r>
    </w:p>
    <w:p>
      <w:pPr>
        <w:widowControl/>
        <w:ind w:firstLine="640" w:firstLineChars="200"/>
        <w:jc w:val="left"/>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tbl>
      <w:tblPr>
        <w:tblStyle w:val="5"/>
        <w:tblW w:w="9576" w:type="dxa"/>
        <w:tblInd w:w="96" w:type="dxa"/>
        <w:tblLayout w:type="autofit"/>
        <w:tblCellMar>
          <w:top w:w="0" w:type="dxa"/>
          <w:left w:w="108" w:type="dxa"/>
          <w:bottom w:w="0" w:type="dxa"/>
          <w:right w:w="108" w:type="dxa"/>
        </w:tblCellMar>
      </w:tblPr>
      <w:tblGrid>
        <w:gridCol w:w="980"/>
        <w:gridCol w:w="1320"/>
        <w:gridCol w:w="1320"/>
        <w:gridCol w:w="2260"/>
        <w:gridCol w:w="2106"/>
        <w:gridCol w:w="1590"/>
      </w:tblGrid>
      <w:tr>
        <w:tblPrEx>
          <w:tblCellMar>
            <w:top w:w="0" w:type="dxa"/>
            <w:left w:w="108" w:type="dxa"/>
            <w:bottom w:w="0" w:type="dxa"/>
            <w:right w:w="108" w:type="dxa"/>
          </w:tblCellMar>
        </w:tblPrEx>
        <w:trPr>
          <w:trHeight w:val="465" w:hRule="atLeast"/>
        </w:trPr>
        <w:tc>
          <w:tcPr>
            <w:tcW w:w="9576" w:type="dxa"/>
            <w:gridSpan w:val="6"/>
            <w:tcBorders>
              <w:top w:val="nil"/>
              <w:left w:val="nil"/>
              <w:bottom w:val="nil"/>
              <w:right w:val="nil"/>
            </w:tcBorders>
            <w:vAlign w:val="center"/>
          </w:tcPr>
          <w:p>
            <w:pPr>
              <w:widowControl/>
              <w:jc w:val="center"/>
              <w:rPr>
                <w:rFonts w:ascii="宋体" w:hAnsi="宋体" w:cs="宋体"/>
                <w:b/>
                <w:bCs/>
                <w:kern w:val="0"/>
                <w:sz w:val="32"/>
                <w:szCs w:val="32"/>
              </w:rPr>
            </w:pPr>
            <w:bookmarkStart w:id="0" w:name="RANGE!A1:F40"/>
            <w:r>
              <w:rPr>
                <w:rFonts w:hint="eastAsia" w:ascii="宋体" w:hAnsi="宋体" w:cs="宋体"/>
                <w:b/>
                <w:bCs/>
                <w:kern w:val="0"/>
                <w:sz w:val="32"/>
                <w:szCs w:val="32"/>
              </w:rPr>
              <w:t>宿松县工商联2021年部门整体支出绩效目标表</w:t>
            </w:r>
            <w:bookmarkEnd w:id="0"/>
          </w:p>
        </w:tc>
      </w:tr>
      <w:tr>
        <w:tblPrEx>
          <w:tblCellMar>
            <w:top w:w="0" w:type="dxa"/>
            <w:left w:w="108" w:type="dxa"/>
            <w:bottom w:w="0" w:type="dxa"/>
            <w:right w:w="108" w:type="dxa"/>
          </w:tblCellMar>
        </w:tblPrEx>
        <w:trPr>
          <w:trHeight w:val="438" w:hRule="atLeast"/>
        </w:trPr>
        <w:tc>
          <w:tcPr>
            <w:tcW w:w="362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部门（单位）名称</w:t>
            </w:r>
          </w:p>
        </w:tc>
        <w:tc>
          <w:tcPr>
            <w:tcW w:w="595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宿松县工商业联合会</w:t>
            </w:r>
          </w:p>
        </w:tc>
      </w:tr>
      <w:tr>
        <w:tblPrEx>
          <w:tblCellMar>
            <w:top w:w="0" w:type="dxa"/>
            <w:left w:w="108" w:type="dxa"/>
            <w:bottom w:w="0" w:type="dxa"/>
            <w:right w:w="108" w:type="dxa"/>
          </w:tblCellMar>
        </w:tblPrEx>
        <w:trPr>
          <w:trHeight w:val="438" w:hRule="atLeast"/>
        </w:trPr>
        <w:tc>
          <w:tcPr>
            <w:tcW w:w="9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年度预算（万元）</w:t>
            </w:r>
          </w:p>
        </w:tc>
        <w:tc>
          <w:tcPr>
            <w:tcW w:w="264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资金总额：</w:t>
            </w:r>
          </w:p>
        </w:tc>
        <w:tc>
          <w:tcPr>
            <w:tcW w:w="595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90.45</w:t>
            </w:r>
          </w:p>
        </w:tc>
      </w:tr>
      <w:tr>
        <w:tblPrEx>
          <w:tblCellMar>
            <w:top w:w="0" w:type="dxa"/>
            <w:left w:w="108" w:type="dxa"/>
            <w:bottom w:w="0" w:type="dxa"/>
            <w:right w:w="108" w:type="dxa"/>
          </w:tblCellMar>
        </w:tblPrEx>
        <w:trPr>
          <w:trHeight w:val="471" w:hRule="atLeast"/>
        </w:trPr>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490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按收入性质分：</w:t>
            </w:r>
          </w:p>
        </w:tc>
        <w:tc>
          <w:tcPr>
            <w:tcW w:w="369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按支出性质分：</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40"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其中：公共财政拨款：</w:t>
            </w:r>
          </w:p>
        </w:tc>
        <w:tc>
          <w:tcPr>
            <w:tcW w:w="226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90.45万元</w:t>
            </w:r>
          </w:p>
        </w:tc>
        <w:tc>
          <w:tcPr>
            <w:tcW w:w="210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其中：基本支出：</w:t>
            </w:r>
          </w:p>
        </w:tc>
        <w:tc>
          <w:tcPr>
            <w:tcW w:w="159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90.45万元</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40"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政府性基金拨款：</w:t>
            </w:r>
          </w:p>
        </w:tc>
        <w:tc>
          <w:tcPr>
            <w:tcW w:w="226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0.00</w:t>
            </w:r>
          </w:p>
        </w:tc>
        <w:tc>
          <w:tcPr>
            <w:tcW w:w="210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 xml:space="preserve"> 项目支出：</w:t>
            </w:r>
          </w:p>
        </w:tc>
        <w:tc>
          <w:tcPr>
            <w:tcW w:w="15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0.00</w:t>
            </w:r>
          </w:p>
        </w:tc>
      </w:tr>
      <w:tr>
        <w:tblPrEx>
          <w:tblCellMar>
            <w:top w:w="0" w:type="dxa"/>
            <w:left w:w="108" w:type="dxa"/>
            <w:bottom w:w="0" w:type="dxa"/>
            <w:right w:w="108" w:type="dxa"/>
          </w:tblCellMar>
        </w:tblPrEx>
        <w:trPr>
          <w:trHeight w:val="600" w:hRule="atLeast"/>
        </w:trPr>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40"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纳入专户管理的非税收入拨款：</w:t>
            </w:r>
          </w:p>
        </w:tc>
        <w:tc>
          <w:tcPr>
            <w:tcW w:w="226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0.00</w:t>
            </w:r>
          </w:p>
        </w:tc>
        <w:tc>
          <w:tcPr>
            <w:tcW w:w="21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90" w:type="dxa"/>
            <w:tcBorders>
              <w:top w:val="nil"/>
              <w:left w:val="nil"/>
              <w:bottom w:val="single" w:color="auto" w:sz="4" w:space="0"/>
              <w:right w:val="single" w:color="auto" w:sz="4" w:space="0"/>
            </w:tcBorders>
            <w:vAlign w:val="center"/>
          </w:tcPr>
          <w:p>
            <w:pPr>
              <w:widowControl/>
              <w:ind w:firstLine="660" w:firstLineChars="300"/>
              <w:jc w:val="left"/>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40"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其他资金：</w:t>
            </w:r>
          </w:p>
        </w:tc>
        <w:tc>
          <w:tcPr>
            <w:tcW w:w="226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0.00</w:t>
            </w:r>
          </w:p>
        </w:tc>
        <w:tc>
          <w:tcPr>
            <w:tcW w:w="21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90" w:type="dxa"/>
            <w:tcBorders>
              <w:top w:val="nil"/>
              <w:left w:val="nil"/>
              <w:bottom w:val="single" w:color="auto" w:sz="4" w:space="0"/>
              <w:right w:val="single" w:color="auto" w:sz="4" w:space="0"/>
            </w:tcBorders>
            <w:vAlign w:val="center"/>
          </w:tcPr>
          <w:p>
            <w:pPr>
              <w:widowControl/>
              <w:ind w:firstLine="660" w:firstLineChars="300"/>
              <w:jc w:val="left"/>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108" w:type="dxa"/>
            <w:bottom w:w="0" w:type="dxa"/>
            <w:right w:w="108" w:type="dxa"/>
          </w:tblCellMar>
        </w:tblPrEx>
        <w:trPr>
          <w:trHeight w:val="9867" w:hRule="atLeast"/>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年度</w:t>
            </w:r>
            <w:r>
              <w:rPr>
                <w:rFonts w:hint="eastAsia" w:ascii="宋体" w:hAnsi="宋体" w:cs="宋体"/>
                <w:kern w:val="0"/>
                <w:sz w:val="24"/>
              </w:rPr>
              <w:br w:type="textWrapping"/>
            </w:r>
            <w:r>
              <w:rPr>
                <w:rFonts w:hint="eastAsia" w:ascii="宋体" w:hAnsi="宋体" w:cs="宋体"/>
                <w:kern w:val="0"/>
                <w:sz w:val="24"/>
              </w:rPr>
              <w:t>总体</w:t>
            </w:r>
            <w:r>
              <w:rPr>
                <w:rFonts w:hint="eastAsia" w:ascii="宋体" w:hAnsi="宋体" w:cs="宋体"/>
                <w:kern w:val="0"/>
                <w:sz w:val="24"/>
              </w:rPr>
              <w:br w:type="textWrapping"/>
            </w:r>
            <w:r>
              <w:rPr>
                <w:rFonts w:hint="eastAsia" w:ascii="宋体" w:hAnsi="宋体" w:cs="宋体"/>
                <w:kern w:val="0"/>
                <w:sz w:val="24"/>
              </w:rPr>
              <w:t>目标</w:t>
            </w:r>
          </w:p>
        </w:tc>
        <w:tc>
          <w:tcPr>
            <w:tcW w:w="8596" w:type="dxa"/>
            <w:gridSpan w:val="5"/>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 xml:space="preserve"> 目标1：以习近平新时代中国特色社会主义思想为指导，深入学习贯彻党的十九大及十九届二中、三中、四中、五中全会精神。通过微信分享、走访调研、研讨交流等多种方式，在会员企业、各直属商协会进行学习传达,推动党的十九大精神进商会、进企业，广泛凝聚非公经济人士政治共识，以实际行动推动党的十九大精神在非公经济领域的贯彻落实。</w:t>
            </w:r>
            <w:r>
              <w:rPr>
                <w:rFonts w:hint="eastAsia" w:ascii="宋体" w:hAnsi="宋体" w:cs="宋体"/>
                <w:kern w:val="0"/>
                <w:sz w:val="24"/>
              </w:rPr>
              <w:br w:type="textWrapping"/>
            </w:r>
            <w:r>
              <w:rPr>
                <w:rFonts w:hint="eastAsia" w:ascii="宋体" w:hAnsi="宋体" w:cs="宋体"/>
                <w:kern w:val="0"/>
                <w:sz w:val="24"/>
              </w:rPr>
              <w:t xml:space="preserve"> 目标2：深入开展非公经济人士的理想信念教育活动，以贯彻“十九大”精神为主轴，教育引导广大非公经济人士进一步增强“四个意识”、坚定“四个自信”、做到“两个维护”，切实把思想和行动统一到县委、县政府的决策部署上来，积极履行社会责任。</w:t>
            </w:r>
            <w:r>
              <w:rPr>
                <w:rFonts w:hint="eastAsia" w:ascii="宋体" w:hAnsi="宋体" w:cs="宋体"/>
                <w:kern w:val="0"/>
                <w:sz w:val="24"/>
              </w:rPr>
              <w:br w:type="textWrapping"/>
            </w:r>
            <w:r>
              <w:rPr>
                <w:rFonts w:hint="eastAsia" w:ascii="宋体" w:hAnsi="宋体" w:cs="宋体"/>
                <w:kern w:val="0"/>
                <w:sz w:val="24"/>
              </w:rPr>
              <w:t xml:space="preserve"> 目标3：深入推进“百企帮百村”精准扶贫行动与乡村振兴的有机结合，组织、引导民营企业家通过资金帮扶、项目拉动公益帮扶、产业带动和就业帮扶等措施为脱贫攻坚、乡村振兴贡献力量。</w:t>
            </w:r>
          </w:p>
          <w:p>
            <w:pPr>
              <w:widowControl/>
              <w:jc w:val="left"/>
              <w:rPr>
                <w:rFonts w:ascii="宋体" w:hAnsi="宋体" w:cs="宋体"/>
                <w:kern w:val="0"/>
                <w:sz w:val="24"/>
              </w:rPr>
            </w:pPr>
            <w:r>
              <w:rPr>
                <w:rFonts w:hint="eastAsia" w:ascii="宋体" w:hAnsi="宋体" w:cs="宋体"/>
                <w:kern w:val="0"/>
                <w:sz w:val="24"/>
              </w:rPr>
              <w:t xml:space="preserve">目标4：积极引导企业家参政议政，助力优化营商环境，完善工商联直通车、民营经济运行调查机制，常态化开展民营企业运行情况季度调查。组织工商联届别的人大代表,政协委员深入企业调查研究，摸清看准影响成县民营经济发展存在的问题，提出切实可行方案，形成高质量调研报告，为县委、县政府决策提供依据积极构建亲清新型政商关系。 </w:t>
            </w:r>
          </w:p>
          <w:p>
            <w:pPr>
              <w:widowControl/>
              <w:jc w:val="left"/>
              <w:rPr>
                <w:rFonts w:ascii="宋体" w:hAnsi="宋体" w:cs="宋体"/>
                <w:kern w:val="0"/>
                <w:sz w:val="24"/>
              </w:rPr>
            </w:pPr>
            <w:r>
              <w:rPr>
                <w:rFonts w:hint="eastAsia" w:ascii="宋体" w:hAnsi="宋体" w:cs="宋体"/>
                <w:kern w:val="0"/>
                <w:sz w:val="24"/>
              </w:rPr>
              <w:t>目标5：深化企业服务，推进调解维权工作。加强商会人民调解委员会的管理，建立商会人民调解员管理制度。提高调解数量，提升调解质量，切实为非公企业排忧解难，切实做好做实企业维权及法律服务工作。</w:t>
            </w:r>
          </w:p>
          <w:p>
            <w:pPr>
              <w:widowControl/>
              <w:jc w:val="left"/>
              <w:rPr>
                <w:rFonts w:ascii="宋体" w:hAnsi="宋体" w:cs="宋体"/>
                <w:kern w:val="0"/>
                <w:sz w:val="24"/>
              </w:rPr>
            </w:pPr>
            <w:r>
              <w:rPr>
                <w:rFonts w:hint="eastAsia" w:ascii="宋体" w:hAnsi="宋体" w:cs="宋体"/>
                <w:kern w:val="0"/>
                <w:sz w:val="24"/>
              </w:rPr>
              <w:t>目标6：推进所属商会改革建设。落实中央、省、市、县委关于促进工商联所属商会改革和发展的决策部署，积极推动在重点行业、新兴产业和新兴业态领域组建直属商会，积极引导宿松籍外地企业家组建成立宿松驻外商会。吸纳有一定影响力的协会商会作为团体会员，加强指导，引导和服务，完善商会职能作用，规范商会自身建设。</w:t>
            </w:r>
          </w:p>
          <w:p>
            <w:pPr>
              <w:widowControl/>
              <w:jc w:val="left"/>
              <w:rPr>
                <w:rFonts w:ascii="宋体" w:hAnsi="宋体" w:cs="宋体"/>
                <w:kern w:val="0"/>
                <w:sz w:val="24"/>
              </w:rPr>
            </w:pPr>
            <w:r>
              <w:rPr>
                <w:rFonts w:hint="eastAsia" w:ascii="宋体" w:hAnsi="宋体" w:cs="宋体"/>
                <w:kern w:val="0"/>
                <w:sz w:val="24"/>
              </w:rPr>
              <w:t>目标7：坚持并完善工商联执委轮值制度，加强工商联自身建设。坚持主席（会长）会议制度和工商联执委会议制度，建立工商联兼职副主席（副会长）轮值制度，由1名企业家副主席（副会长）轮流担任轮值委主任，在任职期间组织开展两次有特色的活动。加快信息化建设，加强工商联组织及直属商会的信息互通、数据共享，加快建设服务、联系、工作一体化的工商联信息化网络。</w:t>
            </w:r>
          </w:p>
        </w:tc>
      </w:tr>
      <w:tr>
        <w:tblPrEx>
          <w:tblCellMar>
            <w:top w:w="0" w:type="dxa"/>
            <w:left w:w="108" w:type="dxa"/>
            <w:bottom w:w="0" w:type="dxa"/>
            <w:right w:w="108" w:type="dxa"/>
          </w:tblCellMar>
        </w:tblPrEx>
        <w:trPr>
          <w:trHeight w:val="438" w:hRule="atLeast"/>
        </w:trPr>
        <w:tc>
          <w:tcPr>
            <w:tcW w:w="9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年</w:t>
            </w:r>
            <w:r>
              <w:rPr>
                <w:rFonts w:hint="eastAsia" w:ascii="宋体" w:hAnsi="宋体" w:cs="宋体"/>
                <w:kern w:val="0"/>
                <w:sz w:val="24"/>
              </w:rPr>
              <w:br w:type="textWrapping"/>
            </w:r>
            <w:r>
              <w:rPr>
                <w:rFonts w:hint="eastAsia" w:ascii="宋体" w:hAnsi="宋体" w:cs="宋体"/>
                <w:kern w:val="0"/>
                <w:sz w:val="24"/>
              </w:rPr>
              <w:t>度</w:t>
            </w:r>
            <w:r>
              <w:rPr>
                <w:rFonts w:hint="eastAsia" w:ascii="宋体" w:hAnsi="宋体" w:cs="宋体"/>
                <w:kern w:val="0"/>
                <w:sz w:val="24"/>
              </w:rPr>
              <w:br w:type="textWrapping"/>
            </w: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1320"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4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5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指标值</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产出指标</w:t>
            </w:r>
          </w:p>
        </w:tc>
        <w:tc>
          <w:tcPr>
            <w:tcW w:w="1320" w:type="dxa"/>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指标1：保障工商联在职人员和退休人员的正常办公、生活秩序。</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在职人员5人、退休人员1人</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指标1：基本满足在职人员和退休人员的正常办公、生活要求，机关工作正常高效运转。</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保障机关工作正常高效运转</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指标2：组织实施各项业务工作符合国家相关政策、相关文件要求，有利于促进工商联各项工作的发展。</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保障各项专项业务工作顺利开展</w:t>
            </w:r>
          </w:p>
        </w:tc>
      </w:tr>
      <w:tr>
        <w:tblPrEx>
          <w:tblCellMar>
            <w:top w:w="0" w:type="dxa"/>
            <w:left w:w="108" w:type="dxa"/>
            <w:bottom w:w="0" w:type="dxa"/>
            <w:right w:w="108" w:type="dxa"/>
          </w:tblCellMar>
        </w:tblPrEx>
        <w:trPr>
          <w:trHeight w:val="969"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指标1：在2021年度完成各项资金支出进度要求，保障工商联各项工作顺利开展。</w:t>
            </w:r>
          </w:p>
        </w:tc>
        <w:tc>
          <w:tcPr>
            <w:tcW w:w="159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=100%</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指标2：按照工商联2021年工作计划，履行好部门职能职责，做好各类工作开展全过程的工作。</w:t>
            </w:r>
          </w:p>
        </w:tc>
        <w:tc>
          <w:tcPr>
            <w:tcW w:w="159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100</w:t>
            </w:r>
            <w:r>
              <w:rPr>
                <w:rFonts w:hint="eastAsia" w:ascii="仿宋" w:hAnsi="仿宋" w:eastAsia="仿宋" w:cs="仿宋"/>
                <w:kern w:val="0"/>
                <w:sz w:val="24"/>
              </w:rPr>
              <w:t>%</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宋体" w:hAnsi="宋体" w:eastAsia="宋体" w:cs="宋体"/>
                <w:kern w:val="0"/>
                <w:sz w:val="24"/>
              </w:rPr>
            </w:pPr>
            <w:r>
              <w:rPr>
                <w:rFonts w:hint="eastAsia" w:ascii="宋体" w:hAnsi="宋体" w:eastAsia="宋体" w:cs="宋体"/>
                <w:kern w:val="0"/>
                <w:sz w:val="24"/>
              </w:rPr>
              <w:t>指标1：总成本控制年度预算申请范围内。</w:t>
            </w:r>
          </w:p>
        </w:tc>
        <w:tc>
          <w:tcPr>
            <w:tcW w:w="1590" w:type="dxa"/>
            <w:tcBorders>
              <w:top w:val="nil"/>
              <w:left w:val="nil"/>
              <w:bottom w:val="single" w:color="auto" w:sz="4" w:space="0"/>
              <w:right w:val="single" w:color="auto" w:sz="4" w:space="0"/>
            </w:tcBorders>
            <w:vAlign w:val="center"/>
          </w:tcPr>
          <w:p>
            <w:pPr>
              <w:widowControl/>
              <w:ind w:firstLine="240" w:firstLineChars="100"/>
              <w:jc w:val="center"/>
              <w:rPr>
                <w:rFonts w:ascii="仿宋" w:hAnsi="仿宋" w:eastAsia="仿宋" w:cs="仿宋"/>
                <w:kern w:val="0"/>
                <w:sz w:val="24"/>
              </w:rPr>
            </w:pPr>
            <w:r>
              <w:rPr>
                <w:rFonts w:hint="eastAsia" w:ascii="宋体" w:hAnsi="宋体"/>
                <w:kern w:val="0"/>
                <w:sz w:val="24"/>
              </w:rPr>
              <w:t>90.45</w:t>
            </w:r>
            <w:r>
              <w:rPr>
                <w:rFonts w:hint="eastAsia" w:ascii="仿宋" w:hAnsi="仿宋" w:eastAsia="仿宋" w:cs="仿宋"/>
                <w:kern w:val="0"/>
                <w:sz w:val="24"/>
              </w:rPr>
              <w:t>万元</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tcBorders>
              <w:top w:val="nil"/>
              <w:left w:val="nil"/>
              <w:bottom w:val="nil"/>
              <w:right w:val="nil"/>
            </w:tcBorders>
            <w:vAlign w:val="center"/>
          </w:tcPr>
          <w:p>
            <w:pPr>
              <w:widowControl/>
              <w:jc w:val="center"/>
              <w:rPr>
                <w:rFonts w:ascii="宋体" w:hAnsi="宋体" w:cs="宋体"/>
                <w:kern w:val="0"/>
                <w:sz w:val="24"/>
              </w:rPr>
            </w:pP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宋体" w:hAnsi="宋体" w:eastAsia="宋体" w:cs="宋体"/>
                <w:kern w:val="0"/>
                <w:sz w:val="24"/>
              </w:rPr>
            </w:pPr>
            <w:r>
              <w:rPr>
                <w:rFonts w:hint="eastAsia" w:ascii="宋体" w:hAnsi="宋体" w:eastAsia="宋体" w:cs="宋体"/>
                <w:kern w:val="0"/>
                <w:sz w:val="24"/>
              </w:rPr>
              <w:t xml:space="preserve">指标2：其他工商联事务支出全年计划总成本 </w:t>
            </w:r>
            <w:r>
              <w:rPr>
                <w:rFonts w:hint="eastAsia" w:ascii="宋体" w:hAnsi="宋体" w:eastAsia="宋体" w:cs="宋体"/>
                <w:color w:val="000000"/>
                <w:kern w:val="0"/>
                <w:sz w:val="22"/>
              </w:rPr>
              <w:t>40.65</w:t>
            </w:r>
            <w:r>
              <w:rPr>
                <w:rFonts w:hint="eastAsia" w:ascii="宋体" w:hAnsi="宋体" w:eastAsia="宋体" w:cs="宋体"/>
                <w:kern w:val="0"/>
                <w:sz w:val="24"/>
              </w:rPr>
              <w:t xml:space="preserve"> 万元，严格执行行政事业单位财务管理制度及相关政策精神。</w:t>
            </w:r>
          </w:p>
        </w:tc>
        <w:tc>
          <w:tcPr>
            <w:tcW w:w="1590" w:type="dxa"/>
            <w:tcBorders>
              <w:top w:val="nil"/>
              <w:left w:val="nil"/>
              <w:bottom w:val="single" w:color="auto" w:sz="4" w:space="0"/>
              <w:right w:val="single" w:color="auto" w:sz="4" w:space="0"/>
            </w:tcBorders>
            <w:vAlign w:val="center"/>
          </w:tcPr>
          <w:p>
            <w:pPr>
              <w:widowControl/>
              <w:ind w:firstLine="220" w:firstLineChars="100"/>
              <w:rPr>
                <w:rFonts w:ascii="仿宋" w:hAnsi="仿宋" w:eastAsia="仿宋" w:cs="仿宋"/>
                <w:kern w:val="0"/>
                <w:sz w:val="24"/>
              </w:rPr>
            </w:pPr>
            <w:r>
              <w:rPr>
                <w:rFonts w:hint="eastAsia" w:ascii="宋体" w:hAnsi="宋体"/>
                <w:color w:val="000000"/>
                <w:kern w:val="0"/>
                <w:sz w:val="22"/>
              </w:rPr>
              <w:t>40.65</w:t>
            </w:r>
            <w:r>
              <w:rPr>
                <w:rFonts w:hint="eastAsia" w:ascii="仿宋" w:hAnsi="仿宋" w:eastAsia="仿宋" w:cs="仿宋"/>
                <w:kern w:val="0"/>
                <w:sz w:val="24"/>
              </w:rPr>
              <w:t>万元</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tcBorders>
              <w:top w:val="nil"/>
              <w:left w:val="nil"/>
              <w:bottom w:val="nil"/>
              <w:right w:val="nil"/>
            </w:tcBorders>
            <w:vAlign w:val="center"/>
          </w:tcPr>
          <w:p>
            <w:pPr>
              <w:widowControl/>
              <w:jc w:val="center"/>
              <w:rPr>
                <w:rFonts w:ascii="宋体" w:hAnsi="宋体" w:cs="宋体"/>
                <w:kern w:val="0"/>
                <w:sz w:val="24"/>
              </w:rPr>
            </w:pPr>
            <w:r>
              <w:rPr>
                <w:rFonts w:ascii="宋体" w:hAnsi="宋体" w:eastAsia="宋体" w:cs="宋体"/>
                <w:sz w:val="24"/>
                <w:szCs w:val="24"/>
              </w:rPr>
              <w:t>经济效益 指标</w:t>
            </w: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宋体" w:hAnsi="宋体" w:eastAsia="宋体" w:cs="宋体"/>
                <w:kern w:val="0"/>
                <w:sz w:val="24"/>
              </w:rPr>
            </w:pPr>
            <w:r>
              <w:rPr>
                <w:rFonts w:ascii="宋体" w:hAnsi="宋体" w:eastAsia="宋体" w:cs="宋体"/>
                <w:sz w:val="24"/>
                <w:szCs w:val="24"/>
              </w:rPr>
              <w:t xml:space="preserve">节约财政资金 </w:t>
            </w:r>
          </w:p>
        </w:tc>
        <w:tc>
          <w:tcPr>
            <w:tcW w:w="1590" w:type="dxa"/>
            <w:tcBorders>
              <w:top w:val="nil"/>
              <w:left w:val="nil"/>
              <w:bottom w:val="single" w:color="auto" w:sz="4" w:space="0"/>
              <w:right w:val="single" w:color="auto" w:sz="4" w:space="0"/>
            </w:tcBorders>
            <w:vAlign w:val="center"/>
          </w:tcPr>
          <w:p>
            <w:pPr>
              <w:widowControl/>
              <w:rPr>
                <w:rFonts w:ascii="宋体" w:hAnsi="宋体"/>
                <w:color w:val="000000"/>
                <w:kern w:val="0"/>
                <w:sz w:val="22"/>
              </w:rPr>
            </w:pPr>
            <w:r>
              <w:rPr>
                <w:rFonts w:ascii="宋体" w:hAnsi="宋体" w:eastAsia="宋体" w:cs="宋体"/>
                <w:sz w:val="24"/>
                <w:szCs w:val="24"/>
              </w:rPr>
              <w:t>提高财政资金 使用效率</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仿宋" w:hAnsi="仿宋" w:eastAsia="仿宋" w:cs="仿宋"/>
                <w:kern w:val="0"/>
                <w:sz w:val="24"/>
              </w:rPr>
            </w:pPr>
            <w:r>
              <w:rPr>
                <w:rFonts w:hint="eastAsia" w:ascii="宋体" w:hAnsi="宋体" w:eastAsia="宋体" w:cs="宋体"/>
                <w:kern w:val="0"/>
                <w:sz w:val="24"/>
              </w:rPr>
              <w:t>提升扩大宿松县工商联对外影响，提升知名度。</w:t>
            </w:r>
          </w:p>
        </w:tc>
        <w:tc>
          <w:tcPr>
            <w:tcW w:w="1590" w:type="dxa"/>
            <w:tcBorders>
              <w:top w:val="nil"/>
              <w:left w:val="nil"/>
              <w:bottom w:val="single" w:color="auto" w:sz="4" w:space="0"/>
              <w:right w:val="single" w:color="auto" w:sz="4" w:space="0"/>
            </w:tcBorders>
            <w:vAlign w:val="center"/>
          </w:tcPr>
          <w:p>
            <w:pPr>
              <w:widowControl/>
              <w:ind w:firstLine="240" w:firstLineChars="100"/>
              <w:rPr>
                <w:rFonts w:ascii="仿宋" w:hAnsi="仿宋" w:eastAsia="仿宋" w:cs="仿宋"/>
                <w:kern w:val="0"/>
                <w:sz w:val="24"/>
              </w:rPr>
            </w:pPr>
            <w:r>
              <w:rPr>
                <w:rFonts w:hint="eastAsia" w:ascii="仿宋" w:hAnsi="仿宋" w:eastAsia="仿宋" w:cs="仿宋"/>
                <w:kern w:val="0"/>
                <w:sz w:val="24"/>
              </w:rPr>
              <w:t>≥97%</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生态效益</w:t>
            </w:r>
            <w:r>
              <w:rPr>
                <w:rFonts w:hint="eastAsia" w:ascii="宋体" w:hAnsi="宋体" w:cs="宋体"/>
                <w:kern w:val="0"/>
                <w:sz w:val="24"/>
              </w:rPr>
              <w:br w:type="textWrapping"/>
            </w:r>
            <w:r>
              <w:rPr>
                <w:rFonts w:hint="eastAsia" w:ascii="宋体" w:hAnsi="宋体" w:cs="宋体"/>
                <w:kern w:val="0"/>
                <w:sz w:val="24"/>
              </w:rPr>
              <w:t>指标</w:t>
            </w: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宋体" w:hAnsi="宋体" w:eastAsia="宋体" w:cs="宋体"/>
                <w:kern w:val="0"/>
                <w:sz w:val="24"/>
              </w:rPr>
            </w:pPr>
            <w:r>
              <w:rPr>
                <w:rFonts w:hint="eastAsia" w:ascii="宋体" w:hAnsi="宋体" w:eastAsia="宋体" w:cs="宋体"/>
                <w:kern w:val="0"/>
                <w:sz w:val="24"/>
              </w:rPr>
              <w:t>提高群众环保意识，强化绿色发展观念。</w:t>
            </w:r>
          </w:p>
        </w:tc>
        <w:tc>
          <w:tcPr>
            <w:tcW w:w="1590" w:type="dxa"/>
            <w:tcBorders>
              <w:top w:val="nil"/>
              <w:left w:val="nil"/>
              <w:bottom w:val="single" w:color="auto" w:sz="4" w:space="0"/>
              <w:right w:val="single" w:color="auto" w:sz="4" w:space="0"/>
            </w:tcBorders>
            <w:vAlign w:val="center"/>
          </w:tcPr>
          <w:p>
            <w:pPr>
              <w:widowControl/>
              <w:ind w:firstLine="480" w:firstLineChars="200"/>
              <w:rPr>
                <w:rFonts w:ascii="宋体" w:hAnsi="宋体" w:eastAsia="宋体" w:cs="宋体"/>
                <w:kern w:val="0"/>
                <w:sz w:val="24"/>
              </w:rPr>
            </w:pPr>
            <w:r>
              <w:rPr>
                <w:rFonts w:hint="eastAsia" w:ascii="宋体" w:hAnsi="宋体" w:eastAsia="宋体" w:cs="宋体"/>
                <w:kern w:val="0"/>
                <w:sz w:val="24"/>
              </w:rPr>
              <w:t>≤0</w:t>
            </w:r>
          </w:p>
        </w:tc>
      </w:tr>
      <w:tr>
        <w:tblPrEx>
          <w:tblCellMar>
            <w:top w:w="0" w:type="dxa"/>
            <w:left w:w="108" w:type="dxa"/>
            <w:bottom w:w="0" w:type="dxa"/>
            <w:right w:w="108" w:type="dxa"/>
          </w:tblCellMar>
        </w:tblPrEx>
        <w:trPr>
          <w:trHeight w:val="891"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可持续影响</w:t>
            </w:r>
            <w:r>
              <w:rPr>
                <w:rFonts w:hint="eastAsia" w:ascii="宋体" w:hAnsi="宋体" w:cs="宋体"/>
                <w:kern w:val="0"/>
                <w:sz w:val="24"/>
              </w:rPr>
              <w:br w:type="textWrapping"/>
            </w:r>
            <w:r>
              <w:rPr>
                <w:rFonts w:hint="eastAsia" w:ascii="宋体" w:hAnsi="宋体" w:cs="宋体"/>
                <w:kern w:val="0"/>
                <w:sz w:val="24"/>
              </w:rPr>
              <w:t>指标</w:t>
            </w: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仿宋" w:hAnsi="仿宋" w:eastAsia="仿宋" w:cs="仿宋"/>
                <w:kern w:val="0"/>
                <w:sz w:val="24"/>
              </w:rPr>
            </w:pPr>
            <w:r>
              <w:rPr>
                <w:rFonts w:hint="eastAsia" w:ascii="宋体" w:hAnsi="宋体" w:eastAsia="宋体" w:cs="宋体"/>
                <w:kern w:val="0"/>
                <w:sz w:val="24"/>
              </w:rPr>
              <w:t>体现政策导向，长期保障工作平稳进行。</w:t>
            </w:r>
          </w:p>
        </w:tc>
        <w:tc>
          <w:tcPr>
            <w:tcW w:w="1590" w:type="dxa"/>
            <w:tcBorders>
              <w:top w:val="nil"/>
              <w:left w:val="nil"/>
              <w:bottom w:val="single" w:color="auto" w:sz="4" w:space="0"/>
              <w:right w:val="single" w:color="auto" w:sz="4" w:space="0"/>
            </w:tcBorders>
            <w:vAlign w:val="center"/>
          </w:tcPr>
          <w:p>
            <w:pPr>
              <w:widowControl/>
              <w:ind w:firstLine="480" w:firstLineChars="200"/>
              <w:rPr>
                <w:rFonts w:ascii="仿宋" w:hAnsi="仿宋" w:eastAsia="仿宋" w:cs="仿宋"/>
                <w:kern w:val="0"/>
                <w:sz w:val="24"/>
              </w:rPr>
            </w:pPr>
            <w:r>
              <w:rPr>
                <w:rFonts w:hint="eastAsia" w:ascii="仿宋" w:hAnsi="仿宋" w:eastAsia="仿宋" w:cs="仿宋"/>
                <w:kern w:val="0"/>
                <w:sz w:val="24"/>
              </w:rPr>
              <w:t>≥98%</w:t>
            </w:r>
          </w:p>
        </w:tc>
      </w:tr>
      <w:tr>
        <w:tblPrEx>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满意度</w:t>
            </w:r>
            <w:r>
              <w:rPr>
                <w:rFonts w:hint="eastAsia" w:ascii="宋体" w:hAnsi="宋体" w:cs="宋体"/>
                <w:kern w:val="0"/>
                <w:sz w:val="24"/>
              </w:rPr>
              <w:br w:type="textWrapping"/>
            </w:r>
            <w:r>
              <w:rPr>
                <w:rFonts w:hint="eastAsia" w:ascii="宋体" w:hAnsi="宋体" w:cs="宋体"/>
                <w:kern w:val="0"/>
                <w:sz w:val="24"/>
              </w:rPr>
              <w:t>指标</w:t>
            </w:r>
          </w:p>
        </w:tc>
        <w:tc>
          <w:tcPr>
            <w:tcW w:w="1320" w:type="dxa"/>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4366"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通过各项工作的开展，力争使相关部门和企业对工商联工作开展的满意度达到较好水平。</w:t>
            </w:r>
          </w:p>
        </w:tc>
        <w:tc>
          <w:tcPr>
            <w:tcW w:w="1590" w:type="dxa"/>
            <w:tcBorders>
              <w:top w:val="nil"/>
              <w:left w:val="nil"/>
              <w:bottom w:val="single" w:color="auto" w:sz="4" w:space="0"/>
              <w:right w:val="single" w:color="auto" w:sz="4" w:space="0"/>
            </w:tcBorders>
            <w:vAlign w:val="center"/>
          </w:tcPr>
          <w:p>
            <w:pPr>
              <w:widowControl/>
              <w:ind w:firstLine="480" w:firstLineChars="200"/>
              <w:jc w:val="left"/>
              <w:rPr>
                <w:rFonts w:ascii="宋体" w:hAnsi="宋体" w:cs="宋体"/>
                <w:kern w:val="0"/>
                <w:sz w:val="24"/>
              </w:rPr>
            </w:pPr>
            <w:r>
              <w:rPr>
                <w:rFonts w:hint="eastAsia" w:ascii="仿宋" w:hAnsi="仿宋" w:eastAsia="仿宋" w:cs="仿宋"/>
                <w:kern w:val="0"/>
                <w:sz w:val="24"/>
              </w:rPr>
              <w:t>≥98%</w:t>
            </w:r>
          </w:p>
        </w:tc>
      </w:tr>
    </w:tbl>
    <w:p>
      <w:pPr>
        <w:adjustRightInd w:val="0"/>
        <w:snapToGrid w:val="0"/>
        <w:spacing w:line="600" w:lineRule="exact"/>
        <w:rPr>
          <w:rFonts w:ascii="黑体" w:hAnsi="黑体" w:eastAsia="黑体"/>
          <w:sz w:val="32"/>
          <w:szCs w:val="32"/>
        </w:rPr>
      </w:pPr>
    </w:p>
    <w:p>
      <w:pPr>
        <w:adjustRightInd w:val="0"/>
        <w:snapToGrid w:val="0"/>
        <w:spacing w:line="600" w:lineRule="exact"/>
        <w:ind w:firstLine="321" w:firstLineChars="1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宿松县工商联2021年机关运行经费财政拨款预算</w:t>
      </w:r>
      <w:r>
        <w:rPr>
          <w:rFonts w:ascii="仿宋_GB2312" w:hAnsi="仿宋" w:eastAsia="仿宋_GB2312"/>
          <w:sz w:val="32"/>
          <w:szCs w:val="32"/>
        </w:rPr>
        <w:t>40.65</w:t>
      </w:r>
      <w:r>
        <w:rPr>
          <w:rFonts w:hint="eastAsia" w:ascii="仿宋_GB2312" w:hAnsi="仿宋" w:eastAsia="仿宋_GB2312"/>
          <w:sz w:val="32"/>
          <w:szCs w:val="32"/>
        </w:rPr>
        <w:t>万元，与2020年预算持平，持平</w:t>
      </w:r>
      <w:r>
        <w:rPr>
          <w:rFonts w:hint="eastAsia" w:ascii="仿宋" w:hAnsi="仿宋" w:eastAsia="仿宋" w:cs="仿宋"/>
          <w:color w:val="000000"/>
          <w:kern w:val="0"/>
          <w:sz w:val="32"/>
          <w:szCs w:val="32"/>
        </w:rPr>
        <w:t>原因主要是厉行节约，严格机关运行经费管理</w:t>
      </w:r>
      <w:r>
        <w:rPr>
          <w:rFonts w:hint="eastAsia" w:ascii="仿宋" w:hAnsi="仿宋" w:eastAsia="仿宋" w:cs="仿宋"/>
          <w:sz w:val="30"/>
          <w:szCs w:val="30"/>
        </w:rPr>
        <w:t>。</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 w:hAnsi="仿宋" w:eastAsia="仿宋" w:cs="仿宋"/>
          <w:sz w:val="32"/>
          <w:szCs w:val="32"/>
        </w:rPr>
        <w:t>宿松县工商联2021年</w:t>
      </w:r>
      <w:r>
        <w:rPr>
          <w:rFonts w:hint="eastAsia" w:ascii="仿宋" w:hAnsi="仿宋" w:eastAsia="仿宋" w:cs="仿宋"/>
          <w:color w:val="000000"/>
          <w:sz w:val="32"/>
          <w:szCs w:val="32"/>
        </w:rPr>
        <w:t>政府采购预算0万元。其中：政府采购货物预算0万元，政府采购工程预算0万元，政府采购服务预算0万元。</w:t>
      </w:r>
    </w:p>
    <w:p>
      <w:pPr>
        <w:numPr>
          <w:ilvl w:val="0"/>
          <w:numId w:val="2"/>
        </w:numPr>
        <w:adjustRightInd w:val="0"/>
        <w:snapToGrid w:val="0"/>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国有资产占有使用情况。</w:t>
      </w:r>
    </w:p>
    <w:p>
      <w:pPr>
        <w:adjustRightInd w:val="0"/>
        <w:snapToGrid w:val="0"/>
        <w:spacing w:line="360" w:lineRule="auto"/>
        <w:ind w:firstLine="640" w:firstLineChars="200"/>
        <w:rPr>
          <w:rFonts w:ascii="仿宋" w:hAnsi="仿宋" w:eastAsia="仿宋" w:cs="仿宋"/>
          <w:sz w:val="32"/>
          <w:szCs w:val="32"/>
        </w:rPr>
      </w:pPr>
      <w:r>
        <w:rPr>
          <w:rFonts w:hint="eastAsia" w:ascii="仿宋_GB2312" w:hAnsi="仿宋" w:eastAsia="仿宋_GB2312"/>
          <w:sz w:val="32"/>
          <w:szCs w:val="32"/>
        </w:rPr>
        <w:t>截至2020年12月31日，</w:t>
      </w:r>
      <w:r>
        <w:rPr>
          <w:rFonts w:hint="eastAsia" w:ascii="仿宋" w:hAnsi="仿宋" w:eastAsia="仿宋" w:cs="仿宋"/>
          <w:sz w:val="32"/>
          <w:szCs w:val="32"/>
        </w:rPr>
        <w:t>宿松县工商联2021年共有车辆0辆。单位价值50万元以上的通用设备0台（套），单位价值100万元以上的专用设备0台（套）。</w:t>
      </w:r>
    </w:p>
    <w:p>
      <w:pPr>
        <w:adjustRightInd w:val="0"/>
        <w:snapToGrid w:val="0"/>
        <w:spacing w:line="360" w:lineRule="auto"/>
        <w:ind w:firstLine="640" w:firstLineChars="200"/>
        <w:rPr>
          <w:rFonts w:ascii="仿宋_GB2312" w:hAnsi="楷体" w:eastAsia="仿宋_GB2312"/>
          <w:sz w:val="32"/>
          <w:szCs w:val="32"/>
        </w:rPr>
      </w:pPr>
      <w:r>
        <w:rPr>
          <w:rFonts w:hint="eastAsia" w:ascii="仿宋" w:hAnsi="仿宋" w:eastAsia="仿宋" w:cs="仿宋"/>
          <w:sz w:val="32"/>
          <w:szCs w:val="32"/>
        </w:rPr>
        <w:t>2021年部门预算安排购置公务用车0辆，购置费0.0万元；安排购置单位价值50万元以上的通用设备0台（套），购置费0.0万元；安排购置单位价值100万元以上专用设备0台（套），购置费0.0万元。</w:t>
      </w:r>
    </w:p>
    <w:p>
      <w:pPr>
        <w:adjustRightInd w:val="0"/>
        <w:snapToGrid w:val="0"/>
        <w:spacing w:line="600" w:lineRule="exact"/>
        <w:ind w:firstLine="643" w:firstLineChars="200"/>
        <w:outlineLvl w:val="0"/>
        <w:rPr>
          <w:rFonts w:ascii="仿宋_GB2312" w:hAnsi="仿宋" w:eastAsia="仿宋_GB2312"/>
          <w:sz w:val="32"/>
          <w:szCs w:val="32"/>
        </w:rPr>
      </w:pPr>
      <w:r>
        <w:rPr>
          <w:rFonts w:hint="eastAsia" w:ascii="仿宋_GB2312" w:hAnsi="楷体" w:eastAsia="仿宋_GB2312"/>
          <w:b/>
          <w:sz w:val="32"/>
          <w:szCs w:val="32"/>
        </w:rPr>
        <w:t>（五）绩效目标设置情况。</w:t>
      </w:r>
      <w:r>
        <w:rPr>
          <w:rFonts w:hint="eastAsia" w:ascii="仿宋_GB2312" w:hAnsi="仿宋" w:eastAsia="仿宋_GB2312"/>
          <w:sz w:val="32"/>
          <w:szCs w:val="32"/>
        </w:rPr>
        <w:t>2021年，宿松县工商联</w:t>
      </w:r>
      <w:r>
        <w:rPr>
          <w:rFonts w:ascii="仿宋_GB2312" w:hAnsi="仿宋" w:eastAsia="仿宋_GB2312"/>
          <w:sz w:val="32"/>
          <w:szCs w:val="32"/>
        </w:rPr>
        <w:t>1</w:t>
      </w:r>
      <w:r>
        <w:rPr>
          <w:rFonts w:hint="eastAsia" w:ascii="仿宋_GB2312" w:hAnsi="仿宋" w:eastAsia="仿宋_GB2312"/>
          <w:sz w:val="32"/>
          <w:szCs w:val="32"/>
        </w:rPr>
        <w:t>个项目（部门整体支出绩效）实行了绩效目标管理，涉及一般公共预算当年财政拨款</w:t>
      </w:r>
      <w:r>
        <w:rPr>
          <w:rFonts w:ascii="仿宋_GB2312" w:hAnsi="仿宋" w:eastAsia="仿宋_GB2312"/>
          <w:sz w:val="32"/>
          <w:szCs w:val="32"/>
        </w:rPr>
        <w:t>90.45</w:t>
      </w:r>
      <w:r>
        <w:rPr>
          <w:rFonts w:hint="eastAsia" w:ascii="仿宋_GB2312" w:hAnsi="仿宋" w:eastAsia="仿宋_GB2312"/>
          <w:sz w:val="32"/>
          <w:szCs w:val="32"/>
        </w:rPr>
        <w:t>万元。</w:t>
      </w:r>
    </w:p>
    <w:p>
      <w:pPr>
        <w:adjustRightInd w:val="0"/>
        <w:snapToGrid w:val="0"/>
        <w:spacing w:line="600" w:lineRule="exact"/>
        <w:jc w:val="center"/>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4"/>
        <w:adjustRightInd w:val="0"/>
        <w:snapToGrid w:val="0"/>
        <w:spacing w:line="600" w:lineRule="exact"/>
        <w:ind w:firstLine="627" w:firstLineChars="196"/>
        <w:rPr>
          <w:rFonts w:ascii="黑体" w:hAnsi="黑体" w:eastAsia="黑体"/>
          <w:sz w:val="32"/>
          <w:szCs w:val="32"/>
        </w:rPr>
      </w:pPr>
      <w:r>
        <w:rPr>
          <w:rFonts w:hint="eastAsia" w:ascii="黑体" w:hAnsi="仿宋" w:eastAsia="黑体" w:cstheme="minorBidi"/>
          <w:kern w:val="2"/>
          <w:sz w:val="32"/>
          <w:szCs w:val="32"/>
        </w:rPr>
        <w:t>二、事业收入：</w:t>
      </w:r>
      <w:r>
        <w:rPr>
          <w:rFonts w:hint="eastAsia" w:ascii="仿宋_GB2312" w:hAnsi="仿宋" w:eastAsia="仿宋_GB2312" w:cstheme="minorBidi"/>
          <w:kern w:val="2"/>
          <w:sz w:val="32"/>
          <w:szCs w:val="32"/>
        </w:rPr>
        <w:t>指事业单位开展专业业务活动及辅助活动所取得的收入。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4"/>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4"/>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adjustRightInd w:val="0"/>
        <w:snapToGrid w:val="0"/>
        <w:spacing w:before="0" w:beforeAutospacing="0" w:after="0" w:afterAutospacing="0" w:line="360" w:lineRule="auto"/>
        <w:ind w:left="359" w:leftChars="171"/>
        <w:jc w:val="both"/>
      </w:pPr>
    </w:p>
    <w:p/>
    <w:p>
      <w:pPr>
        <w:rPr>
          <w:rFonts w:ascii="仿宋_GB2312" w:hAnsi="黑体" w:eastAsia="仿宋_GB2312" w:cs="宋体"/>
          <w:kern w:val="0"/>
          <w:sz w:val="32"/>
          <w:szCs w:val="32"/>
        </w:rPr>
      </w:pPr>
      <w:r>
        <w:rPr>
          <w:rFonts w:ascii="仿宋_GB2312" w:hAnsi="黑体" w:eastAsia="仿宋_GB2312" w:cs="宋体"/>
          <w:kern w:val="0"/>
          <w:sz w:val="32"/>
          <w:szCs w:val="32"/>
        </w:rPr>
        <w:t>联系方式：宿松县</w:t>
      </w:r>
      <w:r>
        <w:rPr>
          <w:rFonts w:hint="eastAsia" w:ascii="仿宋_GB2312" w:hAnsi="黑体" w:eastAsia="仿宋_GB2312" w:cs="宋体"/>
          <w:kern w:val="0"/>
          <w:sz w:val="32"/>
          <w:szCs w:val="32"/>
        </w:rPr>
        <w:t>工商联</w:t>
      </w:r>
      <w:r>
        <w:rPr>
          <w:rFonts w:ascii="仿宋_GB2312" w:hAnsi="黑体" w:eastAsia="仿宋_GB2312" w:cs="宋体"/>
          <w:kern w:val="0"/>
          <w:sz w:val="32"/>
          <w:szCs w:val="32"/>
        </w:rPr>
        <w:t xml:space="preserve"> </w:t>
      </w:r>
    </w:p>
    <w:p>
      <w:pPr>
        <w:rPr>
          <w:rFonts w:ascii="仿宋_GB2312" w:hAnsi="黑体" w:eastAsia="仿宋_GB2312" w:cs="宋体"/>
          <w:kern w:val="0"/>
          <w:sz w:val="32"/>
          <w:szCs w:val="32"/>
        </w:rPr>
      </w:pPr>
      <w:r>
        <w:rPr>
          <w:rFonts w:ascii="仿宋_GB2312" w:hAnsi="黑体" w:eastAsia="仿宋_GB2312" w:cs="宋体"/>
          <w:kern w:val="0"/>
          <w:sz w:val="32"/>
          <w:szCs w:val="32"/>
        </w:rPr>
        <w:t>政务公开电子邮箱：ss</w:t>
      </w:r>
      <w:r>
        <w:rPr>
          <w:rFonts w:hint="eastAsia" w:ascii="仿宋_GB2312" w:hAnsi="黑体" w:eastAsia="仿宋_GB2312" w:cs="宋体"/>
          <w:kern w:val="0"/>
          <w:sz w:val="32"/>
          <w:szCs w:val="32"/>
        </w:rPr>
        <w:t>x</w:t>
      </w:r>
      <w:r>
        <w:rPr>
          <w:rFonts w:ascii="仿宋_GB2312" w:hAnsi="黑体" w:eastAsia="仿宋_GB2312" w:cs="宋体"/>
          <w:kern w:val="0"/>
          <w:sz w:val="32"/>
          <w:szCs w:val="32"/>
        </w:rPr>
        <w:t>gslb@163.com</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2"/>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A3D91"/>
    <w:multiLevelType w:val="singleLevel"/>
    <w:tmpl w:val="032A3D91"/>
    <w:lvl w:ilvl="0" w:tentative="0">
      <w:start w:val="4"/>
      <w:numFmt w:val="chineseCounting"/>
      <w:suff w:val="nothing"/>
      <w:lvlText w:val="（%1）"/>
      <w:lvlJc w:val="left"/>
      <w:rPr>
        <w:rFonts w:hint="eastAsia"/>
      </w:rPr>
    </w:lvl>
  </w:abstractNum>
  <w:abstractNum w:abstractNumId="1">
    <w:nsid w:val="49020764"/>
    <w:multiLevelType w:val="singleLevel"/>
    <w:tmpl w:val="49020764"/>
    <w:lvl w:ilvl="0" w:tentative="0">
      <w:start w:val="1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82"/>
    <w:rsid w:val="00032A6F"/>
    <w:rsid w:val="00143C3D"/>
    <w:rsid w:val="001B264A"/>
    <w:rsid w:val="001D1E5C"/>
    <w:rsid w:val="00232C88"/>
    <w:rsid w:val="0024150C"/>
    <w:rsid w:val="002A7AE4"/>
    <w:rsid w:val="002C0BCE"/>
    <w:rsid w:val="002C6871"/>
    <w:rsid w:val="002F1268"/>
    <w:rsid w:val="002F36E5"/>
    <w:rsid w:val="00314382"/>
    <w:rsid w:val="003357F4"/>
    <w:rsid w:val="00350150"/>
    <w:rsid w:val="004024EB"/>
    <w:rsid w:val="004E584A"/>
    <w:rsid w:val="005A3699"/>
    <w:rsid w:val="0060792E"/>
    <w:rsid w:val="00607CA6"/>
    <w:rsid w:val="00646259"/>
    <w:rsid w:val="006B191F"/>
    <w:rsid w:val="007A5F5F"/>
    <w:rsid w:val="007C55F3"/>
    <w:rsid w:val="007E241D"/>
    <w:rsid w:val="0087474A"/>
    <w:rsid w:val="00882CEE"/>
    <w:rsid w:val="00A4789A"/>
    <w:rsid w:val="00A6236E"/>
    <w:rsid w:val="00AB3180"/>
    <w:rsid w:val="00AD661B"/>
    <w:rsid w:val="00B01B81"/>
    <w:rsid w:val="00BC6C0B"/>
    <w:rsid w:val="00C2111D"/>
    <w:rsid w:val="00C365DF"/>
    <w:rsid w:val="00C5227E"/>
    <w:rsid w:val="00CA02FA"/>
    <w:rsid w:val="00CB6095"/>
    <w:rsid w:val="00D629F6"/>
    <w:rsid w:val="00EC04BC"/>
    <w:rsid w:val="0110714C"/>
    <w:rsid w:val="014F603B"/>
    <w:rsid w:val="01A213A7"/>
    <w:rsid w:val="01E468A0"/>
    <w:rsid w:val="022A5EF9"/>
    <w:rsid w:val="02A73915"/>
    <w:rsid w:val="03AF5A9B"/>
    <w:rsid w:val="04532294"/>
    <w:rsid w:val="046B6C1D"/>
    <w:rsid w:val="04714340"/>
    <w:rsid w:val="048B68CB"/>
    <w:rsid w:val="04BC430D"/>
    <w:rsid w:val="050C0563"/>
    <w:rsid w:val="05CE7667"/>
    <w:rsid w:val="06804165"/>
    <w:rsid w:val="0721313C"/>
    <w:rsid w:val="08614DC2"/>
    <w:rsid w:val="08B81E15"/>
    <w:rsid w:val="08D3632F"/>
    <w:rsid w:val="09264BCC"/>
    <w:rsid w:val="095F59C5"/>
    <w:rsid w:val="09C40EE6"/>
    <w:rsid w:val="0A3C3466"/>
    <w:rsid w:val="0A68453F"/>
    <w:rsid w:val="0AAD176D"/>
    <w:rsid w:val="0AB26464"/>
    <w:rsid w:val="0ABE1E0D"/>
    <w:rsid w:val="0AE51D2B"/>
    <w:rsid w:val="0BFD28CD"/>
    <w:rsid w:val="0C564F27"/>
    <w:rsid w:val="0C8637C0"/>
    <w:rsid w:val="0C895E3C"/>
    <w:rsid w:val="0DC4120D"/>
    <w:rsid w:val="0E7A5631"/>
    <w:rsid w:val="0EE9282F"/>
    <w:rsid w:val="0F9E769F"/>
    <w:rsid w:val="10487FA7"/>
    <w:rsid w:val="10A4274D"/>
    <w:rsid w:val="10B72B20"/>
    <w:rsid w:val="110C7DA0"/>
    <w:rsid w:val="12532ECF"/>
    <w:rsid w:val="12B80F43"/>
    <w:rsid w:val="12BD3979"/>
    <w:rsid w:val="13606FFE"/>
    <w:rsid w:val="139D5875"/>
    <w:rsid w:val="13AB067B"/>
    <w:rsid w:val="148574C9"/>
    <w:rsid w:val="164E6DD6"/>
    <w:rsid w:val="168D3C01"/>
    <w:rsid w:val="16F1148D"/>
    <w:rsid w:val="17362190"/>
    <w:rsid w:val="17F515EB"/>
    <w:rsid w:val="17F72161"/>
    <w:rsid w:val="19392296"/>
    <w:rsid w:val="196A7E11"/>
    <w:rsid w:val="19912C3C"/>
    <w:rsid w:val="19B42B47"/>
    <w:rsid w:val="19ED219C"/>
    <w:rsid w:val="1B8F51B1"/>
    <w:rsid w:val="1C1D3FFB"/>
    <w:rsid w:val="1C703B50"/>
    <w:rsid w:val="1DC255F1"/>
    <w:rsid w:val="1E3B0091"/>
    <w:rsid w:val="1FFE6D7B"/>
    <w:rsid w:val="210A58F7"/>
    <w:rsid w:val="21224143"/>
    <w:rsid w:val="21443648"/>
    <w:rsid w:val="224156F3"/>
    <w:rsid w:val="229C7FD7"/>
    <w:rsid w:val="22C578A3"/>
    <w:rsid w:val="23C44A20"/>
    <w:rsid w:val="23CD36C8"/>
    <w:rsid w:val="24250ADC"/>
    <w:rsid w:val="24387DB0"/>
    <w:rsid w:val="25026263"/>
    <w:rsid w:val="251F3E50"/>
    <w:rsid w:val="2544007E"/>
    <w:rsid w:val="25721252"/>
    <w:rsid w:val="258B1DCC"/>
    <w:rsid w:val="25CB2DE1"/>
    <w:rsid w:val="27161133"/>
    <w:rsid w:val="280E44B1"/>
    <w:rsid w:val="295703D1"/>
    <w:rsid w:val="29CA3345"/>
    <w:rsid w:val="2AF56548"/>
    <w:rsid w:val="2BA35890"/>
    <w:rsid w:val="2D3B4290"/>
    <w:rsid w:val="2DC87913"/>
    <w:rsid w:val="2E1C5857"/>
    <w:rsid w:val="2F101DD8"/>
    <w:rsid w:val="308777E7"/>
    <w:rsid w:val="30C12E79"/>
    <w:rsid w:val="31095D2E"/>
    <w:rsid w:val="313F295E"/>
    <w:rsid w:val="321A36F7"/>
    <w:rsid w:val="326E1DE3"/>
    <w:rsid w:val="32800025"/>
    <w:rsid w:val="32A91180"/>
    <w:rsid w:val="32DA3DA7"/>
    <w:rsid w:val="33E52551"/>
    <w:rsid w:val="34037CBE"/>
    <w:rsid w:val="34064323"/>
    <w:rsid w:val="363D3A95"/>
    <w:rsid w:val="36601905"/>
    <w:rsid w:val="368342A9"/>
    <w:rsid w:val="388C33C1"/>
    <w:rsid w:val="3A53013F"/>
    <w:rsid w:val="3B933906"/>
    <w:rsid w:val="3BCF607D"/>
    <w:rsid w:val="3CBF116A"/>
    <w:rsid w:val="3D9600CA"/>
    <w:rsid w:val="3DBF6865"/>
    <w:rsid w:val="3DD36F38"/>
    <w:rsid w:val="3E01445E"/>
    <w:rsid w:val="3F88338E"/>
    <w:rsid w:val="402A54F8"/>
    <w:rsid w:val="41471FC2"/>
    <w:rsid w:val="439F45A1"/>
    <w:rsid w:val="43A64EA0"/>
    <w:rsid w:val="4485331F"/>
    <w:rsid w:val="46B53DE9"/>
    <w:rsid w:val="479666F2"/>
    <w:rsid w:val="48784BD6"/>
    <w:rsid w:val="49C11E3C"/>
    <w:rsid w:val="49F03585"/>
    <w:rsid w:val="4A017342"/>
    <w:rsid w:val="4AE47BC0"/>
    <w:rsid w:val="4AF04D8E"/>
    <w:rsid w:val="4C03068F"/>
    <w:rsid w:val="4C4D31FF"/>
    <w:rsid w:val="4CF91E38"/>
    <w:rsid w:val="4D3F491E"/>
    <w:rsid w:val="4D680969"/>
    <w:rsid w:val="4DCC27C1"/>
    <w:rsid w:val="4E924884"/>
    <w:rsid w:val="4EB328AE"/>
    <w:rsid w:val="4ECD10B2"/>
    <w:rsid w:val="4EF307F8"/>
    <w:rsid w:val="502D5608"/>
    <w:rsid w:val="510564E9"/>
    <w:rsid w:val="526F6EB7"/>
    <w:rsid w:val="52D62C17"/>
    <w:rsid w:val="5368175A"/>
    <w:rsid w:val="53B146EE"/>
    <w:rsid w:val="54FF135A"/>
    <w:rsid w:val="55370214"/>
    <w:rsid w:val="55405D89"/>
    <w:rsid w:val="55BE5F18"/>
    <w:rsid w:val="567C340E"/>
    <w:rsid w:val="56926C0B"/>
    <w:rsid w:val="569E7250"/>
    <w:rsid w:val="56A706B7"/>
    <w:rsid w:val="5756534D"/>
    <w:rsid w:val="58136A2D"/>
    <w:rsid w:val="58BA428C"/>
    <w:rsid w:val="58EE5B51"/>
    <w:rsid w:val="592B0057"/>
    <w:rsid w:val="59910A48"/>
    <w:rsid w:val="5A0475EA"/>
    <w:rsid w:val="5A092278"/>
    <w:rsid w:val="5A835ECE"/>
    <w:rsid w:val="5AB034C4"/>
    <w:rsid w:val="5C8872BF"/>
    <w:rsid w:val="5CA31C67"/>
    <w:rsid w:val="5CF95DA2"/>
    <w:rsid w:val="5D0A07F1"/>
    <w:rsid w:val="5D7C2465"/>
    <w:rsid w:val="5F6A6E80"/>
    <w:rsid w:val="5FAE724D"/>
    <w:rsid w:val="601837F9"/>
    <w:rsid w:val="602946C7"/>
    <w:rsid w:val="60715676"/>
    <w:rsid w:val="609A5EA7"/>
    <w:rsid w:val="60B46C7F"/>
    <w:rsid w:val="61044F15"/>
    <w:rsid w:val="61861417"/>
    <w:rsid w:val="61F74B3E"/>
    <w:rsid w:val="630269CB"/>
    <w:rsid w:val="63567FB4"/>
    <w:rsid w:val="63613ADF"/>
    <w:rsid w:val="64685717"/>
    <w:rsid w:val="65C864F5"/>
    <w:rsid w:val="65E87383"/>
    <w:rsid w:val="66392372"/>
    <w:rsid w:val="666D2A57"/>
    <w:rsid w:val="66C86DDD"/>
    <w:rsid w:val="675146FC"/>
    <w:rsid w:val="67C0110B"/>
    <w:rsid w:val="688C1027"/>
    <w:rsid w:val="694B68EC"/>
    <w:rsid w:val="69BD4033"/>
    <w:rsid w:val="6ADA5787"/>
    <w:rsid w:val="6AE62E78"/>
    <w:rsid w:val="6AFA4A5E"/>
    <w:rsid w:val="6B3C10E7"/>
    <w:rsid w:val="6BCA5DE4"/>
    <w:rsid w:val="6C625A69"/>
    <w:rsid w:val="6D476EB0"/>
    <w:rsid w:val="6D485223"/>
    <w:rsid w:val="6E0E2882"/>
    <w:rsid w:val="6E3835A8"/>
    <w:rsid w:val="6E5D1B8A"/>
    <w:rsid w:val="6EC71422"/>
    <w:rsid w:val="6F060A4D"/>
    <w:rsid w:val="6F111949"/>
    <w:rsid w:val="6F4B5DC1"/>
    <w:rsid w:val="6FA6153D"/>
    <w:rsid w:val="6FE74699"/>
    <w:rsid w:val="6FF82A40"/>
    <w:rsid w:val="70353F10"/>
    <w:rsid w:val="703B573E"/>
    <w:rsid w:val="726223E3"/>
    <w:rsid w:val="74881300"/>
    <w:rsid w:val="74C27A46"/>
    <w:rsid w:val="76FD2888"/>
    <w:rsid w:val="77CD71D3"/>
    <w:rsid w:val="7889648E"/>
    <w:rsid w:val="790548E0"/>
    <w:rsid w:val="79206B25"/>
    <w:rsid w:val="7A697680"/>
    <w:rsid w:val="7A9C06A5"/>
    <w:rsid w:val="7B7C320D"/>
    <w:rsid w:val="7B9E577A"/>
    <w:rsid w:val="7C3C57EE"/>
    <w:rsid w:val="7CFB592A"/>
    <w:rsid w:val="7DE96FDF"/>
    <w:rsid w:val="7EC87B43"/>
    <w:rsid w:val="7F5E3E1B"/>
    <w:rsid w:val="7F69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字符"/>
    <w:basedOn w:val="6"/>
    <w:link w:val="3"/>
    <w:uiPriority w:val="0"/>
    <w:rPr>
      <w:rFonts w:asciiTheme="minorHAnsi" w:hAnsiTheme="minorHAnsi" w:eastAsiaTheme="minorEastAsia" w:cstheme="minorBidi"/>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2097</Words>
  <Characters>11953</Characters>
  <Lines>99</Lines>
  <Paragraphs>28</Paragraphs>
  <TotalTime>51</TotalTime>
  <ScaleCrop>false</ScaleCrop>
  <LinksUpToDate>false</LinksUpToDate>
  <CharactersWithSpaces>14022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2021-03-15T03:20:00Z</dcterms:created>
  <dc:creator>Administrator</dc:creator>
  <cp:lastModifiedBy>皖松</cp:lastModifiedBy>
  <dcterms:modified xsi:type="dcterms:W3CDTF">2021-05-27T03:14:09Z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7CC45E30D9AC46929DE8B6949DFAB6FA</vt:lpwstr>
  </property>
</Properties>
</file>