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 w:val="0"/>
          <w:bCs/>
          <w:color w:val="auto"/>
          <w:sz w:val="32"/>
          <w:szCs w:val="32"/>
          <w:lang w:val="en-US" w:eastAsia="zh-CN"/>
        </w:rPr>
      </w:pPr>
    </w:p>
    <w:p>
      <w:pPr>
        <w:jc w:val="center"/>
        <w:rPr>
          <w:rFonts w:hint="eastAsia" w:ascii="宋体" w:hAnsi="宋体"/>
          <w:b/>
          <w:color w:val="auto"/>
          <w:sz w:val="36"/>
          <w:szCs w:val="36"/>
        </w:rPr>
      </w:pPr>
      <w:r>
        <w:rPr>
          <w:rFonts w:hint="eastAsia" w:ascii="宋体" w:hAnsi="宋体"/>
          <w:b/>
          <w:color w:val="auto"/>
          <w:sz w:val="36"/>
          <w:szCs w:val="36"/>
          <w:lang w:val="en-US" w:eastAsia="zh-CN"/>
        </w:rPr>
        <w:t>宿松县工商业联合会</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w:t>
      </w:r>
    </w:p>
    <w:p>
      <w:pPr>
        <w:jc w:val="center"/>
        <w:rPr>
          <w:rFonts w:hint="eastAsia" w:ascii="宋体" w:hAnsi="宋体"/>
          <w:b/>
          <w:color w:val="auto"/>
          <w:sz w:val="36"/>
          <w:szCs w:val="36"/>
        </w:rPr>
      </w:pPr>
      <w:r>
        <w:rPr>
          <w:rFonts w:hint="eastAsia" w:ascii="宋体" w:hAnsi="宋体"/>
          <w:b/>
          <w:color w:val="auto"/>
          <w:sz w:val="36"/>
          <w:szCs w:val="36"/>
        </w:rPr>
        <w:t>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adjustRightInd w:val="0"/>
        <w:snapToGrid w:val="0"/>
        <w:spacing w:line="360" w:lineRule="auto"/>
        <w:jc w:val="center"/>
        <w:rPr>
          <w:rFonts w:hint="eastAsia" w:ascii="宋体" w:hAnsi="宋体"/>
          <w:color w:val="auto"/>
          <w:sz w:val="6"/>
          <w:szCs w:val="32"/>
        </w:rPr>
      </w:pP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jc w:val="right"/>
        <w:rPr>
          <w:rFonts w:hint="eastAsia" w:ascii="黑体" w:hAnsi="黑体" w:eastAsia="黑体"/>
          <w:color w:val="auto"/>
          <w:szCs w:val="32"/>
        </w:rPr>
      </w:pPr>
      <w:r>
        <w:rPr>
          <w:rFonts w:hint="eastAsia" w:ascii="仿宋_GB2312" w:hAnsi="仿宋_GB2312" w:cs="仿宋_GB2312"/>
          <w:color w:val="auto"/>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b/>
                <w:bCs/>
                <w:color w:val="auto"/>
                <w:kern w:val="0"/>
                <w:sz w:val="32"/>
                <w:szCs w:val="32"/>
              </w:rPr>
            </w:pPr>
            <w:r>
              <w:rPr>
                <w:rFonts w:hint="eastAsia" w:ascii="宋体" w:hAnsi="宋体" w:eastAsia="宋体" w:cs="宋体"/>
                <w:i w:val="0"/>
                <w:iCs w:val="0"/>
                <w:color w:val="000000"/>
                <w:kern w:val="0"/>
                <w:sz w:val="32"/>
                <w:szCs w:val="32"/>
                <w:u w:val="none"/>
                <w:lang w:val="en-US" w:eastAsia="zh-CN" w:bidi="ar"/>
              </w:rPr>
              <w:t>0.99</w:t>
            </w:r>
          </w:p>
        </w:tc>
        <w:tc>
          <w:tcPr>
            <w:tcW w:w="22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b/>
                <w:bCs/>
                <w:color w:val="auto"/>
                <w:kern w:val="0"/>
                <w:sz w:val="32"/>
                <w:szCs w:val="32"/>
              </w:rPr>
            </w:pPr>
            <w:r>
              <w:rPr>
                <w:rFonts w:hint="eastAsia" w:ascii="宋体" w:hAnsi="宋体" w:eastAsia="宋体" w:cs="宋体"/>
                <w:i w:val="0"/>
                <w:iCs w:val="0"/>
                <w:color w:val="000000"/>
                <w:kern w:val="0"/>
                <w:sz w:val="32"/>
                <w:szCs w:val="32"/>
                <w:u w:val="none"/>
                <w:lang w:val="en-US" w:eastAsia="zh-CN" w:bidi="ar"/>
              </w:rPr>
              <w:t>0.99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0.00</w:t>
            </w:r>
          </w:p>
        </w:tc>
        <w:tc>
          <w:tcPr>
            <w:tcW w:w="22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0.99</w:t>
            </w:r>
          </w:p>
        </w:tc>
        <w:tc>
          <w:tcPr>
            <w:tcW w:w="22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0.99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0.00</w:t>
            </w:r>
          </w:p>
        </w:tc>
        <w:tc>
          <w:tcPr>
            <w:tcW w:w="22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0.00</w:t>
            </w:r>
          </w:p>
        </w:tc>
        <w:tc>
          <w:tcPr>
            <w:tcW w:w="22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0.00</w:t>
            </w:r>
          </w:p>
        </w:tc>
        <w:tc>
          <w:tcPr>
            <w:tcW w:w="22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宋体" w:hAnsi="宋体" w:cs="宋体"/>
                <w:color w:val="auto"/>
                <w:kern w:val="0"/>
                <w:sz w:val="32"/>
                <w:szCs w:val="32"/>
              </w:rPr>
            </w:pPr>
            <w:r>
              <w:rPr>
                <w:rFonts w:hint="eastAsia" w:ascii="宋体" w:hAnsi="宋体" w:eastAsia="宋体" w:cs="宋体"/>
                <w:i w:val="0"/>
                <w:iCs w:val="0"/>
                <w:color w:val="000000"/>
                <w:kern w:val="0"/>
                <w:sz w:val="32"/>
                <w:szCs w:val="32"/>
                <w:u w:val="none"/>
                <w:lang w:val="en-US" w:eastAsia="zh-CN" w:bidi="ar"/>
              </w:rPr>
              <w:t>0.00</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楷体_GB2312" w:hAnsi="仿宋" w:eastAsia="楷体_GB2312"/>
          <w:color w:val="FF0000"/>
          <w:szCs w:val="32"/>
        </w:rPr>
        <w:t xml:space="preserve">  </w:t>
      </w:r>
      <w:r>
        <w:rPr>
          <w:rFonts w:hint="eastAsia" w:ascii="黑体" w:hAnsi="黑体" w:eastAsia="黑体"/>
          <w:szCs w:val="32"/>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40" w:firstLineChars="200"/>
        <w:rPr>
          <w:rFonts w:hint="eastAsia" w:ascii="楷体_GB2312" w:hAnsi="仿宋" w:eastAsia="楷体_GB2312"/>
          <w:color w:val="FF0000"/>
          <w:szCs w:val="32"/>
        </w:rPr>
      </w:pPr>
      <w:r>
        <w:rPr>
          <w:rFonts w:hint="eastAsia" w:ascii="仿宋_GB2312" w:hAnsi="仿宋"/>
          <w:color w:val="auto"/>
          <w:szCs w:val="32"/>
          <w:lang w:val="en-US" w:eastAsia="zh-CN"/>
        </w:rPr>
        <w:t>宿松县工商业联合会</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0.99</w:t>
      </w:r>
      <w:r>
        <w:rPr>
          <w:rFonts w:hint="eastAsia" w:ascii="仿宋_GB2312" w:hAnsi="仿宋"/>
          <w:color w:val="auto"/>
          <w:szCs w:val="32"/>
        </w:rPr>
        <w:t>万元，支出决算</w:t>
      </w:r>
      <w:r>
        <w:rPr>
          <w:rFonts w:hint="eastAsia" w:ascii="仿宋_GB2312" w:hAnsi="仿宋"/>
          <w:color w:val="auto"/>
          <w:szCs w:val="32"/>
          <w:lang w:eastAsia="zh-CN"/>
        </w:rPr>
        <w:t>为</w:t>
      </w:r>
      <w:r>
        <w:rPr>
          <w:rFonts w:hint="eastAsia" w:ascii="仿宋_GB2312" w:hAnsi="仿宋"/>
          <w:color w:val="auto"/>
          <w:szCs w:val="32"/>
          <w:lang w:val="en-US" w:eastAsia="zh-CN"/>
        </w:rPr>
        <w:t>0.99</w:t>
      </w:r>
      <w:r>
        <w:rPr>
          <w:rFonts w:hint="eastAsia" w:ascii="仿宋_GB2312" w:hAnsi="仿宋"/>
          <w:color w:val="auto"/>
          <w:szCs w:val="32"/>
        </w:rPr>
        <w:t>万元，完成预算的</w:t>
      </w:r>
      <w:r>
        <w:rPr>
          <w:rFonts w:hint="eastAsia" w:ascii="仿宋_GB2312" w:hAnsi="仿宋"/>
          <w:color w:val="auto"/>
          <w:szCs w:val="32"/>
          <w:lang w:val="en-US" w:eastAsia="zh-CN"/>
        </w:rPr>
        <w:t>100.0</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与上年无增减变动</w:t>
      </w:r>
      <w:r>
        <w:rPr>
          <w:rFonts w:hint="eastAsia" w:ascii="仿宋_GB2312" w:hAnsi="仿宋"/>
          <w:color w:val="auto"/>
          <w:szCs w:val="32"/>
          <w:u w:val="none"/>
          <w:lang w:val="en-US" w:eastAsia="zh-CN"/>
        </w:rPr>
        <w:t>。</w:t>
      </w:r>
      <w:r>
        <w:rPr>
          <w:rFonts w:hint="eastAsia" w:ascii="仿宋_GB2312" w:hAnsi="仿宋"/>
          <w:color w:val="auto"/>
          <w:szCs w:val="32"/>
          <w:u w:val="none"/>
        </w:rPr>
        <w:t>决算数</w:t>
      </w:r>
      <w:r>
        <w:rPr>
          <w:rFonts w:hint="eastAsia" w:ascii="仿宋_GB2312" w:hAnsi="仿宋"/>
          <w:color w:val="auto"/>
          <w:szCs w:val="32"/>
          <w:u w:val="none"/>
          <w:lang w:eastAsia="zh-CN"/>
        </w:rPr>
        <w:t>与</w:t>
      </w:r>
      <w:r>
        <w:rPr>
          <w:rFonts w:hint="eastAsia" w:ascii="仿宋_GB2312" w:hAnsi="仿宋"/>
          <w:color w:val="auto"/>
          <w:szCs w:val="32"/>
          <w:u w:val="none"/>
        </w:rPr>
        <w:t>预算数</w:t>
      </w:r>
      <w:r>
        <w:rPr>
          <w:rFonts w:hint="eastAsia" w:ascii="仿宋_GB2312" w:hAnsi="仿宋"/>
          <w:color w:val="auto"/>
          <w:szCs w:val="32"/>
          <w:u w:val="none"/>
          <w:lang w:eastAsia="zh-CN"/>
        </w:rPr>
        <w:t>持平</w:t>
      </w:r>
      <w:r>
        <w:rPr>
          <w:rFonts w:hint="eastAsia" w:ascii="仿宋_GB2312" w:hAnsi="仿宋"/>
          <w:color w:val="auto"/>
          <w:szCs w:val="32"/>
          <w:u w:val="none"/>
        </w:rPr>
        <w:t>的主要原因是</w:t>
      </w:r>
      <w:r>
        <w:rPr>
          <w:rFonts w:hint="eastAsia" w:ascii="仿宋_GB2312" w:hAnsi="仿宋"/>
          <w:szCs w:val="32"/>
        </w:rPr>
        <w:t>严格执行“三公经费”的有关规定和要求，力争做到只减不增</w:t>
      </w:r>
      <w:r>
        <w:rPr>
          <w:rFonts w:hint="eastAsia" w:ascii="仿宋_GB2312" w:hAnsi="仿宋"/>
          <w:color w:val="auto"/>
          <w:szCs w:val="32"/>
          <w:u w:val="none"/>
        </w:rPr>
        <w:t>。</w:t>
      </w:r>
    </w:p>
    <w:p>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宿松县工商业联合会</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%;公务接待费支出决算</w:t>
      </w:r>
      <w:r>
        <w:rPr>
          <w:rFonts w:hint="eastAsia" w:ascii="仿宋_GB2312" w:hAnsi="仿宋"/>
          <w:color w:val="auto"/>
          <w:szCs w:val="32"/>
          <w:lang w:val="en-US" w:eastAsia="zh-CN"/>
        </w:rPr>
        <w:t>0.99</w:t>
      </w:r>
      <w:r>
        <w:rPr>
          <w:rFonts w:hint="eastAsia" w:ascii="仿宋_GB2312" w:hAnsi="仿宋"/>
          <w:color w:val="auto"/>
          <w:szCs w:val="32"/>
        </w:rPr>
        <w:t>万元，占</w:t>
      </w:r>
      <w:r>
        <w:rPr>
          <w:rFonts w:hint="eastAsia" w:ascii="仿宋_GB2312" w:hAnsi="仿宋"/>
          <w:color w:val="auto"/>
          <w:szCs w:val="32"/>
          <w:lang w:val="en-US" w:eastAsia="zh-CN"/>
        </w:rPr>
        <w:t>100.0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%。具体情况如下：</w:t>
      </w:r>
    </w:p>
    <w:p>
      <w:pPr>
        <w:numPr>
          <w:ilvl w:val="0"/>
          <w:numId w:val="0"/>
        </w:numPr>
        <w:ind w:firstLine="643" w:firstLineChars="200"/>
        <w:rPr>
          <w:rFonts w:hint="eastAsia" w:ascii="仿宋_GB2312" w:hAnsi="仿宋" w:eastAsia="仿宋_GB2312"/>
          <w:b/>
          <w:bCs/>
          <w:color w:val="auto"/>
          <w:sz w:val="30"/>
          <w:szCs w:val="30"/>
        </w:rPr>
      </w:pPr>
      <w:r>
        <w:rPr>
          <w:rFonts w:hint="eastAsia" w:ascii="仿宋_GB2312" w:hAnsi="仿宋"/>
          <w:b/>
          <w:bCs/>
          <w:color w:val="auto"/>
          <w:szCs w:val="32"/>
          <w:lang w:val="en-US" w:eastAsia="zh-CN"/>
        </w:rPr>
        <w:t>1.</w:t>
      </w:r>
      <w:r>
        <w:rPr>
          <w:rFonts w:hint="eastAsia" w:ascii="仿宋_GB2312" w:hAnsi="仿宋"/>
          <w:b/>
          <w:bCs/>
          <w:color w:val="auto"/>
          <w:szCs w:val="32"/>
        </w:rPr>
        <w:t>因公出国（境）费</w:t>
      </w:r>
      <w:r>
        <w:rPr>
          <w:rFonts w:hint="eastAsia" w:ascii="仿宋_GB2312" w:hAnsi="仿宋" w:eastAsia="仿宋_GB2312"/>
          <w:color w:val="auto"/>
          <w:sz w:val="30"/>
          <w:szCs w:val="30"/>
          <w:lang w:eastAsia="zh-CN"/>
        </w:rPr>
        <w:t>预算为</w:t>
      </w:r>
      <w:r>
        <w:rPr>
          <w:rFonts w:hint="eastAsia" w:ascii="仿宋_GB2312" w:hAnsi="仿宋" w:eastAsia="仿宋_GB2312"/>
          <w:color w:val="auto"/>
          <w:sz w:val="30"/>
          <w:szCs w:val="30"/>
        </w:rPr>
        <w:t>0万元，</w:t>
      </w:r>
      <w:r>
        <w:rPr>
          <w:rFonts w:hint="eastAsia" w:ascii="仿宋_GB2312" w:hAnsi="仿宋" w:eastAsia="仿宋_GB2312"/>
          <w:color w:val="auto"/>
          <w:sz w:val="30"/>
          <w:szCs w:val="30"/>
          <w:lang w:eastAsia="zh-CN"/>
        </w:rPr>
        <w:t>支出决算为</w:t>
      </w:r>
      <w:r>
        <w:rPr>
          <w:rFonts w:hint="eastAsia" w:ascii="仿宋_GB2312" w:hAnsi="仿宋" w:eastAsia="仿宋_GB2312"/>
          <w:color w:val="auto"/>
          <w:sz w:val="30"/>
          <w:szCs w:val="30"/>
        </w:rPr>
        <w:t>0万元，</w:t>
      </w:r>
      <w:r>
        <w:rPr>
          <w:rFonts w:hint="eastAsia" w:ascii="仿宋_GB2312" w:hAnsi="仿宋" w:eastAsia="仿宋_GB2312"/>
          <w:color w:val="auto"/>
          <w:sz w:val="30"/>
          <w:szCs w:val="30"/>
          <w:lang w:eastAsia="zh-CN"/>
        </w:rPr>
        <w:t>完成预算的</w:t>
      </w:r>
      <w:r>
        <w:rPr>
          <w:rFonts w:hint="eastAsia" w:ascii="仿宋_GB2312" w:hAnsi="仿宋" w:eastAsia="仿宋_GB2312"/>
          <w:color w:val="auto"/>
          <w:sz w:val="30"/>
          <w:szCs w:val="30"/>
          <w:lang w:val="en-US" w:eastAsia="zh-CN"/>
        </w:rPr>
        <w:t>10</w:t>
      </w:r>
      <w:r>
        <w:rPr>
          <w:rFonts w:hint="eastAsia" w:ascii="仿宋_GB2312" w:hAnsi="仿宋" w:eastAsia="仿宋_GB2312"/>
          <w:color w:val="auto"/>
          <w:sz w:val="30"/>
          <w:szCs w:val="30"/>
        </w:rPr>
        <w:t>0%</w:t>
      </w:r>
      <w:r>
        <w:rPr>
          <w:rFonts w:hint="eastAsia" w:ascii="仿宋_GB2312" w:hAnsi="仿宋" w:eastAsia="仿宋_GB2312"/>
          <w:color w:val="auto"/>
          <w:sz w:val="30"/>
          <w:szCs w:val="30"/>
          <w:lang w:eastAsia="zh-CN"/>
        </w:rPr>
        <w:t>，决算数与预算数相同；较上年减少</w:t>
      </w:r>
      <w:r>
        <w:rPr>
          <w:rFonts w:hint="eastAsia" w:ascii="仿宋_GB2312" w:hAnsi="仿宋" w:eastAsia="仿宋_GB2312"/>
          <w:color w:val="auto"/>
          <w:sz w:val="30"/>
          <w:szCs w:val="30"/>
          <w:lang w:val="en-US" w:eastAsia="zh-CN"/>
        </w:rPr>
        <w:t>0</w:t>
      </w:r>
      <w:r>
        <w:rPr>
          <w:rFonts w:hint="eastAsia" w:ascii="仿宋_GB2312" w:hAnsi="仿宋" w:eastAsia="仿宋_GB2312"/>
          <w:color w:val="auto"/>
          <w:sz w:val="30"/>
          <w:szCs w:val="30"/>
          <w:lang w:eastAsia="zh-CN"/>
        </w:rPr>
        <w:t>万元，下降</w:t>
      </w:r>
      <w:r>
        <w:rPr>
          <w:rFonts w:hint="eastAsia" w:ascii="仿宋_GB2312" w:hAnsi="仿宋" w:eastAsia="仿宋_GB2312"/>
          <w:color w:val="auto"/>
          <w:sz w:val="30"/>
          <w:szCs w:val="30"/>
          <w:lang w:val="en-US" w:eastAsia="zh-CN"/>
        </w:rPr>
        <w:t>0%。</w:t>
      </w:r>
      <w:r>
        <w:rPr>
          <w:rFonts w:hint="eastAsia" w:ascii="仿宋_GB2312" w:hAnsi="仿宋" w:eastAsia="仿宋_GB2312"/>
          <w:color w:val="auto"/>
          <w:sz w:val="30"/>
          <w:szCs w:val="30"/>
        </w:rPr>
        <w:t>原因是</w:t>
      </w:r>
      <w:r>
        <w:rPr>
          <w:rFonts w:hint="eastAsia" w:ascii="仿宋_GB2312" w:hAnsi="仿宋" w:eastAsia="仿宋_GB2312"/>
          <w:color w:val="auto"/>
          <w:sz w:val="30"/>
          <w:szCs w:val="30"/>
          <w:lang w:val="en-US" w:eastAsia="zh-CN"/>
        </w:rPr>
        <w:t>2021年度、</w:t>
      </w:r>
      <w:r>
        <w:rPr>
          <w:rFonts w:hint="eastAsia" w:ascii="仿宋_GB2312" w:hAnsi="仿宋" w:eastAsia="仿宋_GB2312"/>
          <w:color w:val="auto"/>
          <w:sz w:val="30"/>
          <w:szCs w:val="30"/>
          <w:lang w:eastAsia="zh-CN"/>
        </w:rPr>
        <w:t>202</w:t>
      </w: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年度</w:t>
      </w:r>
      <w:r>
        <w:rPr>
          <w:rFonts w:hint="eastAsia" w:ascii="仿宋_GB2312" w:hAnsi="仿宋" w:eastAsia="仿宋_GB2312"/>
          <w:color w:val="auto"/>
          <w:sz w:val="30"/>
          <w:szCs w:val="30"/>
          <w:lang w:eastAsia="zh-CN"/>
        </w:rPr>
        <w:t>均</w:t>
      </w:r>
      <w:r>
        <w:rPr>
          <w:rFonts w:hint="eastAsia" w:ascii="仿宋_GB2312" w:hAnsi="仿宋" w:eastAsia="仿宋_GB2312"/>
          <w:color w:val="auto"/>
          <w:sz w:val="30"/>
          <w:szCs w:val="30"/>
        </w:rPr>
        <w:t>未安排因公出国（境）计划。</w:t>
      </w:r>
      <w:r>
        <w:rPr>
          <w:rFonts w:hint="eastAsia" w:ascii="仿宋_GB2312" w:hAnsi="仿宋" w:eastAsia="仿宋_GB2312"/>
          <w:b w:val="0"/>
          <w:bCs w:val="0"/>
          <w:color w:val="auto"/>
          <w:sz w:val="30"/>
          <w:szCs w:val="30"/>
        </w:rPr>
        <w:t>故</w:t>
      </w:r>
      <w:r>
        <w:rPr>
          <w:rFonts w:hint="eastAsia" w:ascii="仿宋_GB2312" w:hAnsi="仿宋" w:eastAsia="仿宋_GB2312"/>
          <w:b w:val="0"/>
          <w:bCs w:val="0"/>
          <w:color w:val="auto"/>
          <w:sz w:val="30"/>
          <w:szCs w:val="30"/>
          <w:lang w:eastAsia="zh-CN"/>
        </w:rPr>
        <w:t>202</w:t>
      </w:r>
      <w:r>
        <w:rPr>
          <w:rFonts w:hint="eastAsia" w:ascii="仿宋_GB2312" w:hAnsi="仿宋" w:eastAsia="仿宋_GB2312"/>
          <w:b w:val="0"/>
          <w:bCs w:val="0"/>
          <w:color w:val="auto"/>
          <w:sz w:val="30"/>
          <w:szCs w:val="30"/>
          <w:lang w:val="en-US" w:eastAsia="zh-CN"/>
        </w:rPr>
        <w:t>2</w:t>
      </w:r>
      <w:r>
        <w:rPr>
          <w:rFonts w:hint="eastAsia" w:ascii="仿宋_GB2312" w:hAnsi="仿宋" w:eastAsia="仿宋_GB2312"/>
          <w:b w:val="0"/>
          <w:bCs w:val="0"/>
          <w:color w:val="auto"/>
          <w:sz w:val="30"/>
          <w:szCs w:val="30"/>
        </w:rPr>
        <w:t>年</w:t>
      </w:r>
      <w:r>
        <w:rPr>
          <w:rFonts w:hint="eastAsia" w:ascii="仿宋_GB2312" w:hAnsi="仿宋"/>
          <w:b w:val="0"/>
          <w:bCs w:val="0"/>
          <w:color w:val="auto"/>
          <w:sz w:val="30"/>
          <w:szCs w:val="30"/>
          <w:lang w:val="en-US" w:eastAsia="zh-CN"/>
        </w:rPr>
        <w:t>宿松县工商业联合会</w:t>
      </w:r>
      <w:r>
        <w:rPr>
          <w:rFonts w:hint="eastAsia" w:ascii="仿宋_GB2312" w:hAnsi="仿宋" w:eastAsia="仿宋_GB2312"/>
          <w:b w:val="0"/>
          <w:bCs w:val="0"/>
          <w:color w:val="auto"/>
          <w:sz w:val="30"/>
          <w:szCs w:val="30"/>
        </w:rPr>
        <w:t>因公出国（境）团组0次，出国（境）0人次</w:t>
      </w:r>
      <w:r>
        <w:rPr>
          <w:rFonts w:hint="eastAsia" w:ascii="仿宋_GB2312" w:hAnsi="仿宋"/>
          <w:b w:val="0"/>
          <w:bCs w:val="0"/>
          <w:color w:val="auto"/>
          <w:sz w:val="30"/>
          <w:szCs w:val="30"/>
          <w:lang w:eastAsia="zh-CN"/>
        </w:rPr>
        <w:t>。</w:t>
      </w:r>
    </w:p>
    <w:p>
      <w:pPr>
        <w:numPr>
          <w:ilvl w:val="0"/>
          <w:numId w:val="0"/>
        </w:num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0.99</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0.99万元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100.0</w:t>
      </w:r>
      <w:r>
        <w:rPr>
          <w:rFonts w:hint="eastAsia" w:ascii="仿宋_GB2312" w:hAnsi="仿宋"/>
          <w:color w:val="auto"/>
          <w:szCs w:val="32"/>
          <w:lang w:eastAsia="zh-CN"/>
        </w:rPr>
        <w:t>%；</w:t>
      </w:r>
      <w:r>
        <w:rPr>
          <w:rFonts w:hint="eastAsia" w:ascii="仿宋_GB2312" w:hAnsi="仿宋"/>
          <w:color w:val="auto"/>
          <w:szCs w:val="32"/>
          <w:u w:val="none"/>
          <w:lang w:eastAsia="zh-CN"/>
        </w:rPr>
        <w:t>与</w:t>
      </w:r>
      <w:r>
        <w:rPr>
          <w:rFonts w:hint="eastAsia" w:ascii="仿宋_GB2312" w:hAnsi="仿宋"/>
          <w:color w:val="auto"/>
          <w:szCs w:val="32"/>
          <w:u w:val="none"/>
          <w:lang w:val="en-US" w:eastAsia="zh-CN"/>
        </w:rPr>
        <w:t>2022年预算无增减变化。</w:t>
      </w:r>
      <w:r>
        <w:rPr>
          <w:rFonts w:hint="eastAsia" w:ascii="仿宋_GB2312" w:hAnsi="仿宋"/>
          <w:color w:val="auto"/>
          <w:szCs w:val="32"/>
          <w:u w:val="none"/>
        </w:rPr>
        <w:t>主要原因是</w:t>
      </w:r>
      <w:r>
        <w:rPr>
          <w:rFonts w:hint="eastAsia" w:ascii="仿宋_GB2312" w:hAnsi="仿宋"/>
          <w:color w:val="auto"/>
          <w:szCs w:val="32"/>
          <w:u w:val="none"/>
          <w:lang w:eastAsia="zh-CN"/>
        </w:rPr>
        <w:t>严控三公经费支出</w:t>
      </w:r>
      <w:r>
        <w:rPr>
          <w:rFonts w:hint="eastAsia" w:ascii="仿宋_GB2312" w:hAnsi="仿宋"/>
          <w:color w:val="auto"/>
          <w:szCs w:val="32"/>
          <w:u w:val="none"/>
        </w:rPr>
        <w:t>。</w:t>
      </w:r>
      <w:r>
        <w:rPr>
          <w:rFonts w:hint="eastAsia" w:ascii="仿宋_GB2312" w:hAnsi="仿宋"/>
          <w:color w:val="auto"/>
          <w:szCs w:val="32"/>
          <w:u w:val="none"/>
          <w:lang w:eastAsia="zh-CN"/>
        </w:rPr>
        <w:t>与上年无增减变动，</w:t>
      </w:r>
      <w:r>
        <w:rPr>
          <w:rFonts w:hint="eastAsia" w:ascii="仿宋_GB2312" w:hAnsi="仿宋"/>
          <w:color w:val="auto"/>
          <w:szCs w:val="32"/>
          <w:u w:val="none"/>
        </w:rPr>
        <w:t>主要原因是</w:t>
      </w:r>
      <w:r>
        <w:rPr>
          <w:rFonts w:hint="eastAsia" w:ascii="仿宋_GB2312" w:hAnsi="仿宋"/>
          <w:szCs w:val="32"/>
        </w:rPr>
        <w:t>严格执行“三公经费”的有关规定和要求，力争做到只减不增</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宿松县工商业联合会</w:t>
      </w:r>
      <w:r>
        <w:rPr>
          <w:rFonts w:hint="eastAsia" w:ascii="仿宋_GB2312" w:hAnsi="仿宋"/>
          <w:color w:val="auto"/>
          <w:szCs w:val="32"/>
        </w:rPr>
        <w:t>国内公务接待共</w:t>
      </w:r>
      <w:r>
        <w:rPr>
          <w:rFonts w:hint="eastAsia" w:ascii="仿宋_GB2312" w:hAnsi="仿宋"/>
          <w:color w:val="auto"/>
          <w:szCs w:val="32"/>
          <w:lang w:val="en-US" w:eastAsia="zh-CN"/>
        </w:rPr>
        <w:t>13</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170</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default" w:ascii="仿宋_GB2312" w:eastAsia="仿宋_GB2312" w:cs="仿宋_GB2312"/>
          <w:sz w:val="32"/>
          <w:szCs w:val="32"/>
        </w:rPr>
        <w:t>接待上级、外县单位业务指导和视察调研以及业务招待等公务来往支出</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和省</w:t>
      </w:r>
      <w:r>
        <w:rPr>
          <w:rFonts w:hint="eastAsia" w:ascii="仿宋_GB2312" w:hAnsi="仿宋"/>
          <w:color w:val="auto"/>
          <w:szCs w:val="32"/>
          <w:lang w:eastAsia="zh-CN"/>
        </w:rPr>
        <w:t>委</w:t>
      </w:r>
      <w:r>
        <w:rPr>
          <w:rFonts w:hint="eastAsia" w:ascii="仿宋_GB2312" w:hAnsi="仿宋"/>
          <w:color w:val="auto"/>
          <w:szCs w:val="32"/>
        </w:rPr>
        <w:t>实</w:t>
      </w:r>
      <w:r>
        <w:rPr>
          <w:rFonts w:hint="eastAsia" w:ascii="仿宋_GB2312" w:hAnsi="宋体" w:cs="宋体"/>
          <w:color w:val="auto"/>
          <w:kern w:val="0"/>
          <w:szCs w:val="32"/>
        </w:rPr>
        <w:t>施细则</w:t>
      </w:r>
      <w:r>
        <w:rPr>
          <w:rFonts w:hint="eastAsia" w:ascii="仿宋_GB2312" w:hAnsi="仿宋"/>
          <w:color w:val="auto"/>
          <w:szCs w:val="32"/>
        </w:rPr>
        <w:t>，严格执行《党政机关厉行节约反对浪费条例》、《</w:t>
      </w:r>
      <w:r>
        <w:rPr>
          <w:rFonts w:hint="eastAsia" w:ascii="仿宋_GB2312" w:hAnsi="仿宋"/>
          <w:color w:val="auto"/>
          <w:szCs w:val="32"/>
          <w:lang w:val="en-US" w:eastAsia="zh-CN"/>
        </w:rPr>
        <w:t>宿松县党政</w:t>
      </w:r>
      <w:r>
        <w:rPr>
          <w:rFonts w:hint="eastAsia" w:ascii="仿宋_GB2312" w:hAnsi="仿宋"/>
          <w:color w:val="auto"/>
          <w:szCs w:val="32"/>
        </w:rPr>
        <w:t>机关公务接待</w:t>
      </w:r>
      <w:r>
        <w:rPr>
          <w:rFonts w:hint="eastAsia" w:ascii="仿宋_GB2312" w:hAnsi="仿宋"/>
          <w:color w:val="auto"/>
          <w:szCs w:val="32"/>
          <w:lang w:val="en-US" w:eastAsia="zh-CN"/>
        </w:rPr>
        <w:t>经费</w:t>
      </w:r>
      <w:r>
        <w:rPr>
          <w:rFonts w:hint="eastAsia" w:ascii="仿宋_GB2312" w:hAnsi="仿宋"/>
          <w:color w:val="auto"/>
          <w:szCs w:val="32"/>
        </w:rPr>
        <w:t>管理暂行办法》（财行〔201</w:t>
      </w:r>
      <w:r>
        <w:rPr>
          <w:rFonts w:hint="eastAsia" w:ascii="仿宋_GB2312" w:hAnsi="仿宋"/>
          <w:color w:val="auto"/>
          <w:szCs w:val="32"/>
          <w:lang w:val="en-US" w:eastAsia="zh-CN"/>
        </w:rPr>
        <w:t>5</w:t>
      </w:r>
      <w:r>
        <w:rPr>
          <w:rFonts w:hint="eastAsia" w:ascii="仿宋_GB2312" w:hAnsi="仿宋"/>
          <w:color w:val="auto"/>
          <w:szCs w:val="32"/>
        </w:rPr>
        <w:t>〕</w:t>
      </w:r>
      <w:r>
        <w:rPr>
          <w:rFonts w:hint="eastAsia" w:ascii="仿宋_GB2312" w:hAnsi="仿宋"/>
          <w:color w:val="auto"/>
          <w:szCs w:val="32"/>
          <w:lang w:val="en-US" w:eastAsia="zh-CN"/>
        </w:rPr>
        <w:t>96</w:t>
      </w:r>
      <w:r>
        <w:rPr>
          <w:rFonts w:hint="eastAsia" w:ascii="仿宋_GB2312" w:hAnsi="仿宋"/>
          <w:color w:val="auto"/>
          <w:szCs w:val="32"/>
        </w:rPr>
        <w:t>号）相关规定。</w:t>
      </w:r>
    </w:p>
    <w:p>
      <w:pPr>
        <w:numPr>
          <w:ilvl w:val="0"/>
          <w:numId w:val="0"/>
        </w:numPr>
        <w:ind w:firstLine="643" w:firstLineChars="200"/>
        <w:rPr>
          <w:rFonts w:hint="eastAsia" w:ascii="仿宋_GB2312" w:hAnsi="仿宋"/>
          <w:color w:val="auto"/>
          <w:szCs w:val="32"/>
        </w:rPr>
      </w:pPr>
      <w:r>
        <w:rPr>
          <w:rFonts w:hint="eastAsia" w:ascii="仿宋_GB2312" w:hAnsi="仿宋"/>
          <w:b/>
          <w:bCs/>
          <w:color w:val="auto"/>
          <w:szCs w:val="32"/>
          <w:lang w:val="en-US" w:eastAsia="zh-CN"/>
        </w:rPr>
        <w:t>3.</w:t>
      </w:r>
      <w:r>
        <w:rPr>
          <w:rFonts w:hint="eastAsia" w:ascii="仿宋_GB2312" w:hAnsi="仿宋"/>
          <w:b/>
          <w:bCs/>
          <w:color w:val="auto"/>
          <w:szCs w:val="32"/>
        </w:rPr>
        <w:t>公务用车购置及运行维护费</w:t>
      </w:r>
      <w:r>
        <w:rPr>
          <w:rFonts w:hint="eastAsia" w:ascii="仿宋_GB2312" w:hAnsi="仿宋"/>
          <w:color w:val="auto"/>
          <w:szCs w:val="32"/>
        </w:rPr>
        <w:t>预算为0万元，支出决算为0万元，完成预算的100%，决算数与预算数相同；较上年减少0万元，下降0%。决算数与预算数持平的主要原因是我</w:t>
      </w:r>
      <w:r>
        <w:rPr>
          <w:rFonts w:hint="eastAsia" w:ascii="仿宋_GB2312" w:hAnsi="仿宋"/>
          <w:color w:val="auto"/>
          <w:szCs w:val="32"/>
          <w:lang w:val="en-US" w:eastAsia="zh-CN"/>
        </w:rPr>
        <w:t>部门</w:t>
      </w:r>
      <w:r>
        <w:rPr>
          <w:rFonts w:hint="eastAsia" w:ascii="仿宋_GB2312" w:hAnsi="仿宋"/>
          <w:color w:val="auto"/>
          <w:szCs w:val="32"/>
        </w:rPr>
        <w:t>未安排公务用车购置及运行维护费预算。决算数较上年无增减变动的主要原因是2021年度、2022年度均未安排公务用车购置及运行维护费预算。其中，公务用车购置费预算为0万元，支出决算为0万元，完成预算的100%；较上年减少0万元，下降0%。决算数与预算数相等的主要原因是2022年未安排公务用车购置费。决算数较上年无增减变动的主要原因是2021年度、2022年度均未安排公务用车购置费预算。2022年购置公务用车0辆。公务用车运行维护费预算为0万元，支出决算为0万元，完成预算的100%；较上年减少0万元，下降0%。决算数与预算数的主要原因是公务用车改革后，我</w:t>
      </w:r>
      <w:r>
        <w:rPr>
          <w:rFonts w:hint="eastAsia" w:ascii="仿宋_GB2312" w:hAnsi="仿宋"/>
          <w:color w:val="auto"/>
          <w:szCs w:val="32"/>
          <w:lang w:val="en-US" w:eastAsia="zh-CN"/>
        </w:rPr>
        <w:t>部门</w:t>
      </w:r>
      <w:r>
        <w:rPr>
          <w:rFonts w:hint="eastAsia" w:ascii="仿宋_GB2312" w:hAnsi="仿宋"/>
          <w:color w:val="auto"/>
          <w:szCs w:val="32"/>
        </w:rPr>
        <w:t>公务用车已上交机关事务管理中心。决算数较上年无增减变动的主要原因是2021年度、2022年度均未安排公务用车运行维护费预算。截至2022年12月31日，宿松县</w:t>
      </w:r>
      <w:r>
        <w:rPr>
          <w:rFonts w:hint="eastAsia" w:ascii="仿宋_GB2312" w:hAnsi="仿宋"/>
          <w:color w:val="auto"/>
          <w:szCs w:val="32"/>
          <w:lang w:eastAsia="zh-CN"/>
        </w:rPr>
        <w:t>工商业联合会</w:t>
      </w:r>
      <w:r>
        <w:rPr>
          <w:rFonts w:hint="eastAsia" w:ascii="仿宋_GB2312" w:hAnsi="仿宋"/>
          <w:color w:val="auto"/>
          <w:szCs w:val="32"/>
        </w:rPr>
        <w:t>机关开支财政拨款的公务用车保有量为0辆</w:t>
      </w:r>
      <w:r>
        <w:rPr>
          <w:rFonts w:hint="eastAsia" w:ascii="仿宋_GB2312" w:hAnsi="仿宋"/>
          <w:color w:val="auto"/>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TViMjdmYzlkM2EwZjg1ZTcwODdjMjE0ZTJiNjgifQ=="/>
  </w:docVars>
  <w:rsids>
    <w:rsidRoot w:val="44DB020A"/>
    <w:rsid w:val="00B052C4"/>
    <w:rsid w:val="04237745"/>
    <w:rsid w:val="067B6D66"/>
    <w:rsid w:val="113343B6"/>
    <w:rsid w:val="14BB6763"/>
    <w:rsid w:val="276D2E3E"/>
    <w:rsid w:val="35C21CBC"/>
    <w:rsid w:val="42EE6387"/>
    <w:rsid w:val="42FF64AE"/>
    <w:rsid w:val="44DB020A"/>
    <w:rsid w:val="4DA1334D"/>
    <w:rsid w:val="51CF4775"/>
    <w:rsid w:val="58C048AA"/>
    <w:rsid w:val="67090219"/>
    <w:rsid w:val="6E7F39B3"/>
    <w:rsid w:val="6F3B3094"/>
    <w:rsid w:val="6FA84896"/>
    <w:rsid w:val="6FC15255"/>
    <w:rsid w:val="70237187"/>
    <w:rsid w:val="74EB0BAE"/>
    <w:rsid w:val="7DE129CC"/>
    <w:rsid w:val="7E692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1145</Words>
  <Characters>1291</Characters>
  <Lines>0</Lines>
  <Paragraphs>0</Paragraphs>
  <TotalTime>1</TotalTime>
  <ScaleCrop>false</ScaleCrop>
  <LinksUpToDate>false</LinksUpToDate>
  <CharactersWithSpaces>1351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2023-08-27T14:45:00Z</dcterms:created>
  <dc:creator>好聚好散.</dc:creator>
  <cp:lastModifiedBy>乐马</cp:lastModifiedBy>
  <dcterms:modified xsi:type="dcterms:W3CDTF">2024-01-04T09:02:38Z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89CB539E86AA4AC4B6DEFF927DAF3F08_11</vt:lpwstr>
  </property>
</Properties>
</file>