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p>
    <w:p>
      <w:pPr>
        <w:spacing w:line="560" w:lineRule="exact"/>
        <w:rPr>
          <w:rFonts w:ascii="TimesNewRoman" w:hAnsi="TimesNewRoman" w:eastAsia="黑体" w:cs="TimesNewRoman"/>
          <w:szCs w:val="32"/>
        </w:rPr>
      </w:pP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宿松县</w:t>
      </w:r>
      <w:r>
        <w:rPr>
          <w:rFonts w:hint="eastAsia" w:ascii="TimesNewRoman" w:hAnsi="TimesNewRoman" w:eastAsia="华文中宋" w:cs="TimesNewRoman"/>
          <w:b/>
          <w:sz w:val="44"/>
          <w:szCs w:val="44"/>
          <w:lang w:eastAsia="zh-CN"/>
        </w:rPr>
        <w:t>工商业联合会</w:t>
      </w:r>
      <w:r>
        <w:rPr>
          <w:rFonts w:ascii="TimesNewRoman" w:hAnsi="TimesNewRoman" w:eastAsia="华文中宋" w:cs="TimesNewRoman"/>
          <w:b/>
          <w:sz w:val="44"/>
          <w:szCs w:val="44"/>
        </w:rPr>
        <w:t>202</w:t>
      </w:r>
      <w:r>
        <w:rPr>
          <w:rFonts w:hint="eastAsia" w:ascii="TimesNewRoman" w:hAnsi="TimesNewRoman" w:eastAsia="华文中宋" w:cs="TimesNewRoman"/>
          <w:b/>
          <w:sz w:val="44"/>
          <w:szCs w:val="44"/>
        </w:rPr>
        <w:t>3</w:t>
      </w:r>
      <w:r>
        <w:rPr>
          <w:rFonts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ascii="TimesNewRoman" w:hAnsi="TimesNewRoman" w:eastAsia="华文中宋" w:cs="TimesNewRoman"/>
          <w:b/>
          <w:sz w:val="44"/>
          <w:szCs w:val="44"/>
        </w:rPr>
        <w:t>部门预算</w:t>
      </w:r>
    </w:p>
    <w:p>
      <w:pPr>
        <w:pStyle w:val="5"/>
        <w:adjustRightInd w:val="0"/>
        <w:snapToGrid w:val="0"/>
        <w:spacing w:line="560" w:lineRule="exact"/>
        <w:jc w:val="center"/>
        <w:outlineLvl w:val="0"/>
        <w:rPr>
          <w:rFonts w:ascii="TimesNewRoman" w:hAnsi="TimesNewRoman" w:eastAsia="楷体_GB2312" w:cs="TimesNewRoman"/>
          <w:sz w:val="32"/>
          <w:szCs w:val="32"/>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202</w:t>
      </w:r>
      <w:r>
        <w:rPr>
          <w:rFonts w:hint="eastAsia" w:ascii="TimesNewRoman" w:hAnsi="TimesNewRoman" w:eastAsia="黑体" w:cs="TimesNewRoman"/>
          <w:bCs/>
          <w:sz w:val="44"/>
          <w:szCs w:val="44"/>
        </w:rPr>
        <w:t>3</w:t>
      </w:r>
      <w:r>
        <w:rPr>
          <w:rFonts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2</w:t>
      </w:r>
      <w:r>
        <w:rPr>
          <w:rFonts w:ascii="TimesNewRoman" w:hAnsi="TimesNewRoman" w:eastAsia="黑体" w:cs="TimesNewRoman"/>
          <w:bCs/>
          <w:sz w:val="44"/>
          <w:szCs w:val="44"/>
        </w:rPr>
        <w:t>月</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目 录</w:t>
      </w: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第一部分 部门概况</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1.主要职责</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2.部门预算构成</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3.202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年度主要工作任务</w:t>
      </w:r>
    </w:p>
    <w:p>
      <w:pPr>
        <w:pStyle w:val="5"/>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第二部分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年部门预算表</w:t>
      </w:r>
    </w:p>
    <w:p>
      <w:pPr>
        <w:pStyle w:val="5"/>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w:t>
      </w:r>
    </w:p>
    <w:p>
      <w:pPr>
        <w:pStyle w:val="5"/>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年支出总表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w:t>
      </w:r>
    </w:p>
    <w:p>
      <w:pPr>
        <w:pStyle w:val="5"/>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bCs/>
          <w:sz w:val="32"/>
          <w:szCs w:val="32"/>
        </w:rPr>
        <w:t>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w:t>
      </w:r>
    </w:p>
    <w:p>
      <w:pPr>
        <w:pStyle w:val="5"/>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第三部分 202</w:t>
      </w:r>
      <w:r>
        <w:rPr>
          <w:rFonts w:hint="eastAsia" w:ascii="TimesNewRoman" w:hAnsi="TimesNewRoman" w:eastAsia="仿宋_GB2312" w:cs="TimesNewRoman"/>
          <w:b/>
          <w:sz w:val="32"/>
          <w:szCs w:val="32"/>
        </w:rPr>
        <w:t>3</w:t>
      </w:r>
      <w:r>
        <w:rPr>
          <w:rFonts w:ascii="TimesNewRoman" w:hAnsi="TimesNewRoman" w:eastAsia="仿宋_GB2312" w:cs="TimesNewRoman"/>
          <w:b/>
          <w:sz w:val="32"/>
          <w:szCs w:val="32"/>
        </w:rPr>
        <w:t>年部门预算情况说明</w:t>
      </w:r>
    </w:p>
    <w:p>
      <w:pPr>
        <w:pStyle w:val="5"/>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年收支总表的说明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年收入总表的说明</w:t>
      </w:r>
    </w:p>
    <w:p>
      <w:pPr>
        <w:adjustRightInd w:val="0"/>
        <w:snapToGrid w:val="0"/>
        <w:spacing w:line="560" w:lineRule="exact"/>
        <w:ind w:firstLine="640" w:firstLineChars="200"/>
        <w:rPr>
          <w:rFonts w:ascii="TimesNewRoman" w:hAnsi="TimesNewRoman" w:cs="TimesNewRoman"/>
          <w:bCs/>
          <w:kern w:val="0"/>
          <w:szCs w:val="32"/>
        </w:rPr>
      </w:pPr>
      <w:r>
        <w:rPr>
          <w:rFonts w:ascii="TimesNewRoman" w:hAnsi="TimesNewRoman" w:cs="TimesNewRoman"/>
          <w:bCs/>
          <w:kern w:val="0"/>
          <w:szCs w:val="32"/>
        </w:rPr>
        <w:t>3.关于202</w:t>
      </w:r>
      <w:r>
        <w:rPr>
          <w:rFonts w:hint="eastAsia" w:ascii="TimesNewRoman" w:hAnsi="TimesNewRoman" w:cs="TimesNewRoman"/>
          <w:bCs/>
          <w:kern w:val="0"/>
          <w:szCs w:val="32"/>
        </w:rPr>
        <w:t>3</w:t>
      </w:r>
      <w:r>
        <w:rPr>
          <w:rFonts w:ascii="TimesNewRoman" w:hAnsi="TimesNewRoman" w:cs="TimesNewRoman"/>
          <w:bCs/>
          <w:kern w:val="0"/>
          <w:szCs w:val="32"/>
        </w:rPr>
        <w:t>年支出总表的说明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年财政拨款收支总表的说明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年一般公共预算基本支出表的说明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年政府性基金预算支出表的说明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年国有资本经营预算支出表的说明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年项目支出表的说明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年政府采购支出表的说明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11.关于202</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年政府购买服务支出表的说明</w:t>
      </w:r>
    </w:p>
    <w:p>
      <w:pPr>
        <w:pStyle w:val="5"/>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12.其他重要事项情况说明</w:t>
      </w:r>
    </w:p>
    <w:p>
      <w:pPr>
        <w:pStyle w:val="5"/>
        <w:adjustRightInd w:val="0"/>
        <w:snapToGrid w:val="0"/>
        <w:spacing w:line="560" w:lineRule="exact"/>
        <w:ind w:firstLine="643" w:firstLineChars="200"/>
        <w:rPr>
          <w:rFonts w:ascii="TimesNewRoman" w:hAnsi="TimesNewRoman" w:eastAsia="仿宋_GB2312" w:cs="TimesNewRoman"/>
          <w:b/>
          <w:sz w:val="32"/>
          <w:szCs w:val="32"/>
        </w:rPr>
      </w:pPr>
      <w:r>
        <w:rPr>
          <w:rFonts w:ascii="TimesNewRoman" w:hAnsi="TimesNewRoman" w:eastAsia="仿宋_GB2312" w:cs="TimesNewRoman"/>
          <w:b/>
          <w:sz w:val="32"/>
          <w:szCs w:val="32"/>
        </w:rPr>
        <w:t>第四部分 名词解释</w:t>
      </w: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ind w:firstLine="643" w:firstLineChars="200"/>
        <w:rPr>
          <w:rFonts w:ascii="TimesNewRoman" w:hAnsi="TimesNewRoman" w:eastAsia="仿宋_GB2312" w:cs="TimesNewRoman"/>
          <w:b/>
          <w:sz w:val="32"/>
          <w:szCs w:val="32"/>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部门概况</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ascii="TimesNewRoman" w:hAnsi="TimesNewRoman" w:eastAsia="黑体" w:cs="TimesNewRoman"/>
          <w:bCs/>
          <w:sz w:val="32"/>
          <w:szCs w:val="32"/>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（一）团结、服务、引导、教育</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经济人士爱国、敬业、诚信、守法、贡献，培养拥护党的领导、走中国特色社会主义道路的</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经济人士队伍。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（二）做好</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经济代表人士政治安排的推荐工作。参与政治协商，发挥民主监督作用，积极参政议政。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（三）参与政府相关的经济活动，广泛联系各地工商界人士，开展民间外交，推动经贸交流和协作，促进经济社会发展。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（四）参与协调劳动关系，促进和谐社会建设。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（五）指导本会直属商会工作，积极参与社会组织建设工作，促进行业协会商会改革发展。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（六）反映</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企业和</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经济人士利益诉求，维护其合法权益。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（七）为会员提供政策信息、人才交流培训等服务。组织会员企业参加各类经贸活动，外出参观考察，帮助会员企业拓展市场。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（八）配合有关部门开展</w:t>
      </w:r>
      <w:r>
        <w:rPr>
          <w:rFonts w:hint="eastAsia" w:ascii="TimesNewRoman" w:hAnsi="TimesNewRoman" w:cs="TimesNewRoman"/>
          <w:kern w:val="2"/>
          <w:sz w:val="32"/>
          <w:szCs w:val="32"/>
          <w:lang w:val="en-US" w:eastAsia="zh-CN" w:bidi="ar-SA"/>
        </w:rPr>
        <w:t>会员</w:t>
      </w:r>
      <w:r>
        <w:rPr>
          <w:rFonts w:hint="eastAsia" w:ascii="TimesNewRoman" w:hAnsi="TimesNewRoman" w:eastAsia="仿宋_GB2312" w:cs="TimesNewRoman"/>
          <w:kern w:val="2"/>
          <w:sz w:val="32"/>
          <w:szCs w:val="32"/>
          <w:lang w:val="en-US" w:eastAsia="zh-CN" w:bidi="ar-SA"/>
        </w:rPr>
        <w:t>企业党建工作。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（九）积极引导</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企业及</w:t>
      </w:r>
      <w:r>
        <w:rPr>
          <w:rFonts w:hint="eastAsia" w:ascii="TimesNewRoman" w:hAnsi="TimesNewRoman" w:cs="TimesNewRoman"/>
          <w:kern w:val="2"/>
          <w:sz w:val="32"/>
          <w:szCs w:val="32"/>
          <w:lang w:val="en-US" w:eastAsia="zh-CN" w:bidi="ar-SA"/>
        </w:rPr>
        <w:t>民营</w:t>
      </w:r>
      <w:r>
        <w:rPr>
          <w:rFonts w:hint="eastAsia" w:ascii="TimesNewRoman" w:hAnsi="TimesNewRoman" w:eastAsia="仿宋_GB2312" w:cs="TimesNewRoman"/>
          <w:kern w:val="2"/>
          <w:sz w:val="32"/>
          <w:szCs w:val="32"/>
          <w:lang w:val="en-US" w:eastAsia="zh-CN" w:bidi="ar-SA"/>
        </w:rPr>
        <w:t>经济人士承担社会责任，大力支持慈善公益事业发展，积极投身光彩事业。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（十）承办县委、县政府和上级工商联交办的</w:t>
      </w:r>
      <w:r>
        <w:rPr>
          <w:rFonts w:hint="eastAsia" w:ascii="TimesNewRoman" w:hAnsi="TimesNewRoman" w:cs="TimesNewRoman"/>
          <w:kern w:val="2"/>
          <w:sz w:val="32"/>
          <w:szCs w:val="32"/>
          <w:lang w:val="en-US" w:eastAsia="zh-CN" w:bidi="ar-SA"/>
        </w:rPr>
        <w:t>其他</w:t>
      </w:r>
      <w:r>
        <w:rPr>
          <w:rFonts w:hint="eastAsia" w:ascii="TimesNewRoman" w:hAnsi="TimesNewRoman" w:eastAsia="仿宋_GB2312" w:cs="TimesNewRoman"/>
          <w:kern w:val="2"/>
          <w:sz w:val="32"/>
          <w:szCs w:val="32"/>
          <w:lang w:val="en-US" w:eastAsia="zh-CN" w:bidi="ar-SA"/>
        </w:rPr>
        <w:t>任务。</w:t>
      </w:r>
    </w:p>
    <w:p>
      <w:pPr>
        <w:pStyle w:val="5"/>
        <w:widowControl/>
        <w:numPr>
          <w:ilvl w:val="0"/>
          <w:numId w:val="1"/>
        </w:numPr>
        <w:adjustRightInd w:val="0"/>
        <w:snapToGrid w:val="0"/>
        <w:spacing w:line="560" w:lineRule="exact"/>
        <w:ind w:firstLine="627" w:firstLineChars="196"/>
        <w:rPr>
          <w:rFonts w:ascii="TimesNewRoman" w:hAnsi="TimesNewRoman" w:eastAsia="黑体" w:cs="TimesNewRoman"/>
          <w:bCs/>
          <w:sz w:val="32"/>
          <w:szCs w:val="32"/>
        </w:rPr>
      </w:pPr>
      <w:r>
        <w:rPr>
          <w:rFonts w:ascii="TimesNewRoman" w:hAnsi="TimesNewRoman" w:eastAsia="黑体" w:cs="TimesNewRoman"/>
          <w:bCs/>
          <w:sz w:val="32"/>
          <w:szCs w:val="32"/>
        </w:rPr>
        <w:t>部门预算构成</w:t>
      </w:r>
    </w:p>
    <w:p>
      <w:pPr>
        <w:pStyle w:val="5"/>
        <w:adjustRightInd w:val="0"/>
        <w:snapToGrid w:val="0"/>
        <w:spacing w:line="560" w:lineRule="exact"/>
        <w:ind w:firstLine="480" w:firstLineChars="150"/>
        <w:outlineLvl w:val="0"/>
        <w:rPr>
          <w:rFonts w:ascii="TimesNewRoman" w:hAnsi="TimesNewRoman" w:eastAsia="楷体_GB2312" w:cs="TimesNewRoman"/>
          <w:sz w:val="32"/>
          <w:szCs w:val="32"/>
        </w:rPr>
      </w:pPr>
      <w:r>
        <w:rPr>
          <w:rFonts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宿松县</w:t>
      </w:r>
      <w:r>
        <w:rPr>
          <w:rFonts w:hint="eastAsia" w:ascii="TimesNewRoman" w:hAnsi="TimesNewRoman" w:eastAsia="仿宋_GB2312" w:cs="TimesNewRoman"/>
          <w:bCs/>
          <w:sz w:val="32"/>
          <w:szCs w:val="32"/>
          <w:lang w:eastAsia="zh-CN"/>
        </w:rPr>
        <w:t>工商业联合会</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年度部门预算仅包括</w:t>
      </w:r>
      <w:r>
        <w:rPr>
          <w:rFonts w:hint="eastAsia" w:ascii="TimesNewRoman" w:hAnsi="TimesNewRoman" w:eastAsia="仿宋_GB2312" w:cs="TimesNewRoman"/>
          <w:sz w:val="32"/>
          <w:szCs w:val="32"/>
        </w:rPr>
        <w:t>局</w:t>
      </w:r>
      <w:r>
        <w:rPr>
          <w:rFonts w:ascii="TimesNewRoman" w:hAnsi="TimesNewRoman" w:eastAsia="仿宋_GB2312" w:cs="TimesNewRoman"/>
          <w:sz w:val="32"/>
          <w:szCs w:val="32"/>
        </w:rPr>
        <w:t>本级预算，无其他下属单位预算。</w:t>
      </w:r>
    </w:p>
    <w:p>
      <w:pPr>
        <w:pStyle w:val="5"/>
        <w:adjustRightInd w:val="0"/>
        <w:snapToGrid w:val="0"/>
        <w:spacing w:line="560" w:lineRule="exact"/>
        <w:ind w:firstLine="480" w:firstLineChars="150"/>
        <w:outlineLvl w:val="0"/>
        <w:rPr>
          <w:rFonts w:ascii="TimesNewRoman" w:hAnsi="TimesNewRoman" w:eastAsia="黑体" w:cs="TimesNewRoman"/>
          <w:bCs/>
          <w:sz w:val="32"/>
          <w:szCs w:val="32"/>
        </w:rPr>
      </w:pPr>
      <w:r>
        <w:rPr>
          <w:rFonts w:ascii="TimesNewRoman" w:hAnsi="TimesNewRoman" w:eastAsia="黑体" w:cs="TimesNewRoman"/>
          <w:bCs/>
          <w:sz w:val="32"/>
          <w:szCs w:val="32"/>
        </w:rPr>
        <w:t>三、202</w:t>
      </w:r>
      <w:r>
        <w:rPr>
          <w:rFonts w:hint="eastAsia" w:ascii="TimesNewRoman" w:hAnsi="TimesNewRoman" w:eastAsia="黑体" w:cs="TimesNewRoman"/>
          <w:bCs/>
          <w:sz w:val="32"/>
          <w:szCs w:val="32"/>
        </w:rPr>
        <w:t>3</w:t>
      </w:r>
      <w:r>
        <w:rPr>
          <w:rFonts w:ascii="TimesNewRoman" w:hAnsi="TimesNewRoman" w:eastAsia="黑体" w:cs="TimesNewRoman"/>
          <w:bCs/>
          <w:sz w:val="32"/>
          <w:szCs w:val="32"/>
        </w:rPr>
        <w:t>年度主要工作任务</w:t>
      </w:r>
    </w:p>
    <w:p>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（一）</w:t>
      </w:r>
      <w:r>
        <w:rPr>
          <w:rFonts w:hint="eastAsia" w:ascii="TimesNewRoman" w:hAnsi="TimesNewRoman" w:eastAsia="仿宋_GB2312" w:cs="TimesNewRoman"/>
          <w:color w:val="auto"/>
          <w:kern w:val="2"/>
          <w:sz w:val="32"/>
          <w:szCs w:val="32"/>
          <w:lang w:val="en-US" w:eastAsia="zh-CN" w:bidi="ar-SA"/>
        </w:rPr>
        <w:t>聚力抓好贯彻</w:t>
      </w:r>
      <w:r>
        <w:rPr>
          <w:rFonts w:hint="default" w:ascii="TimesNewRoman" w:hAnsi="TimesNewRoman" w:eastAsia="仿宋_GB2312" w:cs="TimesNewRoman"/>
          <w:color w:val="auto"/>
          <w:kern w:val="2"/>
          <w:sz w:val="32"/>
          <w:szCs w:val="32"/>
          <w:lang w:val="en-US" w:eastAsia="zh-CN" w:bidi="ar-SA"/>
        </w:rPr>
        <w:t>落实党的二十大精神</w:t>
      </w:r>
      <w:r>
        <w:rPr>
          <w:rFonts w:hint="eastAsia" w:ascii="TimesNewRoman" w:hAnsi="TimesNewRoman" w:eastAsia="仿宋_GB2312" w:cs="TimesNewRoman"/>
          <w:color w:val="auto"/>
          <w:kern w:val="2"/>
          <w:sz w:val="32"/>
          <w:szCs w:val="32"/>
          <w:lang w:val="en-US" w:eastAsia="zh-CN" w:bidi="ar-SA"/>
        </w:rPr>
        <w:t>。坚持把学习宣传贯彻党的二十大精神作为首要政治任务和政治必修课，综合运用集中学、研讨学、平台学、互动学等 “四学”形式，依托县委党校、红色教育基地等载体，深入学习贯彻党的二十大精神，不断推动学习贯彻往深里走、往实里走、往心里走。</w:t>
      </w:r>
    </w:p>
    <w:p>
      <w:pPr>
        <w:keepNext w:val="0"/>
        <w:keepLines w:val="0"/>
        <w:pageBreakBefore w:val="0"/>
        <w:widowControl w:val="0"/>
        <w:tabs>
          <w:tab w:val="left" w:pos="763"/>
        </w:tabs>
        <w:kinsoku/>
        <w:wordWrap/>
        <w:overflowPunct/>
        <w:topLinePunct w:val="0"/>
        <w:autoSpaceDE/>
        <w:autoSpaceDN/>
        <w:bidi w:val="0"/>
        <w:adjustRightInd/>
        <w:snapToGrid/>
        <w:spacing w:line="360" w:lineRule="auto"/>
        <w:ind w:firstLine="640" w:firstLineChars="200"/>
        <w:textAlignment w:val="auto"/>
        <w:rPr>
          <w:rFonts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（二）</w:t>
      </w:r>
      <w:r>
        <w:rPr>
          <w:rFonts w:hint="eastAsia" w:ascii="TimesNewRoman" w:hAnsi="TimesNewRoman" w:eastAsia="仿宋_GB2312" w:cs="TimesNewRoman"/>
          <w:color w:val="auto"/>
          <w:kern w:val="2"/>
          <w:sz w:val="32"/>
          <w:szCs w:val="32"/>
          <w:lang w:val="en-US" w:eastAsia="zh-CN" w:bidi="ar-SA"/>
        </w:rPr>
        <w:t>聚力抓好</w:t>
      </w:r>
      <w:r>
        <w:rPr>
          <w:rFonts w:hint="eastAsia" w:ascii="TimesNewRoman" w:hAnsi="TimesNewRoman" w:eastAsia="仿宋_GB2312" w:cs="TimesNewRoman"/>
          <w:color w:val="auto"/>
          <w:kern w:val="2"/>
          <w:sz w:val="32"/>
          <w:szCs w:val="32"/>
          <w:lang w:val="zh-TW" w:eastAsia="zh-TW" w:bidi="ar-SA"/>
        </w:rPr>
        <w:t>商协会平台建设。加强乡镇商会建设</w:t>
      </w:r>
      <w:r>
        <w:rPr>
          <w:rFonts w:hint="eastAsia" w:ascii="TimesNewRoman" w:hAnsi="TimesNewRoman" w:cs="TimesNewRoman"/>
          <w:color w:val="auto"/>
          <w:kern w:val="2"/>
          <w:sz w:val="32"/>
          <w:szCs w:val="32"/>
          <w:lang w:val="zh-TW" w:eastAsia="zh-CN" w:bidi="ar-SA"/>
        </w:rPr>
        <w:t>，</w:t>
      </w:r>
      <w:r>
        <w:rPr>
          <w:rFonts w:hint="eastAsia" w:ascii="TimesNewRoman" w:hAnsi="TimesNewRoman" w:eastAsia="仿宋_GB2312" w:cs="TimesNewRoman"/>
          <w:color w:val="auto"/>
          <w:kern w:val="2"/>
          <w:sz w:val="32"/>
          <w:szCs w:val="32"/>
          <w:lang w:val="zh-TW" w:eastAsia="zh-TW" w:bidi="ar-SA"/>
        </w:rPr>
        <w:t>积极推动在支柱行业、新兴产业和新兴业态领域，组建直属商会，</w:t>
      </w:r>
      <w:r>
        <w:rPr>
          <w:rFonts w:hint="eastAsia" w:ascii="TimesNewRoman" w:hAnsi="TimesNewRoman" w:eastAsia="仿宋_GB2312" w:cs="TimesNewRoman"/>
          <w:color w:val="auto"/>
          <w:kern w:val="2"/>
          <w:sz w:val="32"/>
          <w:szCs w:val="32"/>
          <w:lang w:val="en-US" w:eastAsia="zh-CN" w:bidi="ar-SA"/>
        </w:rPr>
        <w:t>尽快</w:t>
      </w:r>
      <w:r>
        <w:rPr>
          <w:rFonts w:hint="eastAsia" w:ascii="TimesNewRoman" w:hAnsi="TimesNewRoman" w:eastAsia="仿宋_GB2312" w:cs="TimesNewRoman"/>
          <w:color w:val="auto"/>
          <w:kern w:val="2"/>
          <w:sz w:val="32"/>
          <w:szCs w:val="32"/>
          <w:lang w:val="zh-TW" w:eastAsia="zh-TW" w:bidi="ar-SA"/>
        </w:rPr>
        <w:t>成立电子</w:t>
      </w:r>
      <w:r>
        <w:rPr>
          <w:rFonts w:hint="eastAsia" w:ascii="TimesNewRoman" w:hAnsi="TimesNewRoman" w:cs="TimesNewRoman"/>
          <w:color w:val="auto"/>
          <w:kern w:val="2"/>
          <w:sz w:val="32"/>
          <w:szCs w:val="32"/>
          <w:lang w:val="en-US" w:eastAsia="zh-CN" w:bidi="ar-SA"/>
        </w:rPr>
        <w:t>元器件产业协会</w:t>
      </w:r>
      <w:r>
        <w:rPr>
          <w:rFonts w:hint="eastAsia" w:ascii="TimesNewRoman" w:hAnsi="TimesNewRoman" w:eastAsia="仿宋_GB2312" w:cs="TimesNewRoman"/>
          <w:color w:val="auto"/>
          <w:kern w:val="2"/>
          <w:sz w:val="32"/>
          <w:szCs w:val="32"/>
          <w:lang w:val="zh-TW" w:eastAsia="zh-TW" w:bidi="ar-SA"/>
        </w:rPr>
        <w:t>。</w:t>
      </w:r>
      <w:r>
        <w:rPr>
          <w:rFonts w:hint="eastAsia" w:ascii="TimesNewRoman" w:hAnsi="TimesNewRoman" w:cs="TimesNewRoman"/>
          <w:color w:val="auto"/>
          <w:kern w:val="2"/>
          <w:sz w:val="32"/>
          <w:szCs w:val="32"/>
          <w:lang w:val="en-US" w:eastAsia="zh-CN" w:bidi="ar-SA"/>
        </w:rPr>
        <w:t>指导</w:t>
      </w:r>
      <w:r>
        <w:rPr>
          <w:rFonts w:hint="eastAsia" w:ascii="TimesNewRoman" w:hAnsi="TimesNewRoman" w:eastAsia="仿宋_GB2312" w:cs="TimesNewRoman"/>
          <w:color w:val="auto"/>
          <w:kern w:val="2"/>
          <w:sz w:val="32"/>
          <w:szCs w:val="32"/>
          <w:lang w:val="zh-TW" w:eastAsia="zh-TW" w:bidi="ar-SA"/>
        </w:rPr>
        <w:t>成立济南宿松商会。</w:t>
      </w:r>
      <w:r>
        <w:rPr>
          <w:rFonts w:hint="eastAsia" w:ascii="TimesNewRoman" w:hAnsi="TimesNewRoman" w:eastAsia="仿宋_GB2312" w:cs="TimesNewRoman"/>
          <w:color w:val="auto"/>
          <w:kern w:val="2"/>
          <w:sz w:val="32"/>
          <w:szCs w:val="32"/>
          <w:lang w:val="en-US" w:eastAsia="zh-CN" w:bidi="ar-SA"/>
        </w:rPr>
        <w:t>加强对商会党建工作的督查和指导，参与实施“双创双提升”工程。开展直属商会党建调研活动，发挥党员企业家先锋模范作用，教育引导企业出资人支持做好企业党建工作。贯彻落实《安徽省商会条例》，推进“四好”商会建设。</w:t>
      </w:r>
    </w:p>
    <w:p>
      <w:pPr>
        <w:keepNext w:val="0"/>
        <w:keepLines w:val="0"/>
        <w:pageBreakBefore w:val="0"/>
        <w:widowControl w:val="0"/>
        <w:tabs>
          <w:tab w:val="left" w:pos="763"/>
        </w:tabs>
        <w:kinsoku/>
        <w:wordWrap/>
        <w:overflowPunct/>
        <w:topLinePunct w:val="0"/>
        <w:autoSpaceDE/>
        <w:autoSpaceDN/>
        <w:bidi w:val="0"/>
        <w:adjustRightInd/>
        <w:snapToGrid/>
        <w:spacing w:line="360" w:lineRule="auto"/>
        <w:ind w:firstLine="640" w:firstLineChars="200"/>
        <w:textAlignment w:val="auto"/>
        <w:rPr>
          <w:rFonts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w:t>
      </w:r>
      <w:r>
        <w:rPr>
          <w:rFonts w:hint="eastAsia" w:ascii="TimesNewRoman" w:hAnsi="TimesNewRoman" w:cs="TimesNewRoman"/>
          <w:bCs/>
          <w:sz w:val="32"/>
          <w:szCs w:val="32"/>
          <w:lang w:val="en-US" w:eastAsia="zh-CN"/>
        </w:rPr>
        <w:t>三</w:t>
      </w:r>
      <w:r>
        <w:rPr>
          <w:rFonts w:ascii="TimesNewRoman" w:hAnsi="TimesNewRoman" w:eastAsia="仿宋_GB2312" w:cs="TimesNewRoman"/>
          <w:bCs/>
          <w:sz w:val="32"/>
          <w:szCs w:val="32"/>
        </w:rPr>
        <w:t>）</w:t>
      </w:r>
      <w:r>
        <w:rPr>
          <w:rFonts w:hint="eastAsia" w:ascii="TimesNewRoman" w:hAnsi="TimesNewRoman" w:eastAsia="仿宋_GB2312" w:cs="TimesNewRoman"/>
          <w:color w:val="auto"/>
          <w:kern w:val="2"/>
          <w:sz w:val="32"/>
          <w:szCs w:val="32"/>
          <w:lang w:val="en-US" w:eastAsia="zh-CN" w:bidi="ar-SA"/>
        </w:rPr>
        <w:t>聚力抓好</w:t>
      </w:r>
      <w:r>
        <w:rPr>
          <w:rFonts w:hint="eastAsia" w:ascii="TimesNewRoman" w:hAnsi="TimesNewRoman" w:eastAsia="仿宋_GB2312" w:cs="TimesNewRoman"/>
          <w:color w:val="auto"/>
          <w:kern w:val="2"/>
          <w:sz w:val="32"/>
          <w:szCs w:val="32"/>
          <w:lang w:val="zh-TW" w:eastAsia="zh-TW" w:bidi="ar-SA"/>
        </w:rPr>
        <w:t>“双招双引”工作。</w:t>
      </w:r>
      <w:r>
        <w:rPr>
          <w:rFonts w:hint="eastAsia" w:ascii="TimesNewRoman" w:hAnsi="TimesNewRoman" w:eastAsia="仿宋_GB2312" w:cs="TimesNewRoman"/>
          <w:color w:val="auto"/>
          <w:kern w:val="2"/>
          <w:sz w:val="32"/>
          <w:szCs w:val="32"/>
          <w:lang w:val="en-US" w:eastAsia="zh-CN" w:bidi="ar-SA"/>
        </w:rPr>
        <w:t>创建异地商会、宿松籍企业家微信群，加强工作互通互促。</w:t>
      </w:r>
      <w:r>
        <w:rPr>
          <w:rFonts w:hint="eastAsia" w:ascii="TimesNewRoman" w:hAnsi="TimesNewRoman" w:eastAsia="仿宋_GB2312" w:cs="TimesNewRoman"/>
          <w:color w:val="auto"/>
          <w:kern w:val="2"/>
          <w:sz w:val="32"/>
          <w:szCs w:val="32"/>
          <w:lang w:val="zh-TW" w:eastAsia="zh-TW" w:bidi="ar-SA"/>
        </w:rPr>
        <w:t>协助召开民营企业家座谈会，组织外出招商，开展“叙乡情、谋发展”活动，发挥桥梁纽带作用。常态化做好“内搭平台、外联老乡”工作。利用 “长三角</w:t>
      </w:r>
      <w:r>
        <w:rPr>
          <w:rFonts w:hint="eastAsia" w:ascii="TimesNewRoman" w:hAnsi="TimesNewRoman" w:cs="TimesNewRoman"/>
          <w:color w:val="auto"/>
          <w:kern w:val="2"/>
          <w:sz w:val="32"/>
          <w:szCs w:val="32"/>
          <w:lang w:val="zh-TW" w:eastAsia="zh-CN" w:bidi="ar-SA"/>
        </w:rPr>
        <w:t>”“</w:t>
      </w:r>
      <w:r>
        <w:rPr>
          <w:rFonts w:hint="eastAsia" w:ascii="TimesNewRoman" w:hAnsi="TimesNewRoman" w:eastAsia="仿宋_GB2312" w:cs="TimesNewRoman"/>
          <w:color w:val="auto"/>
          <w:kern w:val="2"/>
          <w:sz w:val="32"/>
          <w:szCs w:val="32"/>
          <w:lang w:val="zh-TW" w:eastAsia="zh-TW" w:bidi="ar-SA"/>
        </w:rPr>
        <w:t>珠三角”宿松籍企业家比较集中优势</w:t>
      </w:r>
      <w:r>
        <w:rPr>
          <w:rFonts w:hint="eastAsia" w:ascii="TimesNewRoman" w:hAnsi="TimesNewRoman" w:cs="TimesNewRoman"/>
          <w:color w:val="auto"/>
          <w:kern w:val="2"/>
          <w:sz w:val="32"/>
          <w:szCs w:val="32"/>
          <w:lang w:val="zh-TW" w:eastAsia="zh-CN" w:bidi="ar-SA"/>
        </w:rPr>
        <w:t>，</w:t>
      </w:r>
      <w:r>
        <w:rPr>
          <w:rFonts w:hint="eastAsia" w:ascii="TimesNewRoman" w:hAnsi="TimesNewRoman" w:eastAsia="仿宋_GB2312" w:cs="TimesNewRoman"/>
          <w:color w:val="auto"/>
          <w:kern w:val="2"/>
          <w:sz w:val="32"/>
          <w:szCs w:val="32"/>
          <w:lang w:val="zh-TW" w:eastAsia="zh-TW" w:bidi="ar-SA"/>
        </w:rPr>
        <w:t xml:space="preserve"> 大力开展乡情招商、以商招商，引导他们在招商引资、人才引进、带动就业等方面发挥作用。</w:t>
      </w:r>
    </w:p>
    <w:p>
      <w:pPr>
        <w:keepNext w:val="0"/>
        <w:keepLines w:val="0"/>
        <w:pageBreakBefore w:val="0"/>
        <w:widowControl w:val="0"/>
        <w:tabs>
          <w:tab w:val="left" w:pos="763"/>
        </w:tabs>
        <w:kinsoku/>
        <w:wordWrap/>
        <w:overflowPunct/>
        <w:topLinePunct w:val="0"/>
        <w:autoSpaceDE/>
        <w:autoSpaceDN/>
        <w:bidi w:val="0"/>
        <w:adjustRightInd/>
        <w:snapToGrid/>
        <w:spacing w:line="360" w:lineRule="auto"/>
        <w:ind w:firstLine="640" w:firstLineChars="200"/>
        <w:textAlignment w:val="auto"/>
        <w:rPr>
          <w:rFonts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w:t>
      </w:r>
      <w:r>
        <w:rPr>
          <w:rFonts w:hint="eastAsia" w:ascii="TimesNewRoman" w:hAnsi="TimesNewRoman" w:cs="TimesNewRoman"/>
          <w:bCs/>
          <w:sz w:val="32"/>
          <w:szCs w:val="32"/>
          <w:lang w:val="en-US" w:eastAsia="zh-CN"/>
        </w:rPr>
        <w:t>四</w:t>
      </w:r>
      <w:r>
        <w:rPr>
          <w:rFonts w:ascii="TimesNewRoman" w:hAnsi="TimesNewRoman" w:eastAsia="仿宋_GB2312" w:cs="TimesNewRoman"/>
          <w:bCs/>
          <w:sz w:val="32"/>
          <w:szCs w:val="32"/>
        </w:rPr>
        <w:t>）</w:t>
      </w:r>
      <w:r>
        <w:rPr>
          <w:rFonts w:hint="eastAsia" w:ascii="TimesNewRoman" w:hAnsi="TimesNewRoman" w:eastAsia="仿宋_GB2312" w:cs="TimesNewRoman"/>
          <w:color w:val="auto"/>
          <w:kern w:val="2"/>
          <w:sz w:val="32"/>
          <w:szCs w:val="32"/>
          <w:lang w:val="en-US" w:eastAsia="zh-CN" w:bidi="ar-SA"/>
        </w:rPr>
        <w:t>聚力抓好</w:t>
      </w:r>
      <w:r>
        <w:rPr>
          <w:rFonts w:hint="eastAsia" w:ascii="TimesNewRoman" w:hAnsi="TimesNewRoman" w:eastAsia="仿宋_GB2312" w:cs="TimesNewRoman"/>
          <w:color w:val="auto"/>
          <w:kern w:val="2"/>
          <w:sz w:val="32"/>
          <w:szCs w:val="32"/>
          <w:lang w:val="zh-TW" w:eastAsia="zh-TW" w:bidi="ar-SA"/>
        </w:rPr>
        <w:t>民营</w:t>
      </w:r>
      <w:r>
        <w:rPr>
          <w:rFonts w:hint="eastAsia" w:ascii="TimesNewRoman" w:hAnsi="TimesNewRoman" w:cs="TimesNewRoman"/>
          <w:color w:val="auto"/>
          <w:kern w:val="2"/>
          <w:sz w:val="32"/>
          <w:szCs w:val="32"/>
          <w:lang w:val="en-US" w:eastAsia="zh-CN" w:bidi="ar-SA"/>
        </w:rPr>
        <w:t>经济人士</w:t>
      </w:r>
      <w:r>
        <w:rPr>
          <w:rFonts w:hint="eastAsia" w:ascii="TimesNewRoman" w:hAnsi="TimesNewRoman" w:eastAsia="仿宋_GB2312" w:cs="TimesNewRoman"/>
          <w:color w:val="auto"/>
          <w:kern w:val="2"/>
          <w:sz w:val="32"/>
          <w:szCs w:val="32"/>
          <w:lang w:val="zh-TW" w:eastAsia="zh-TW" w:bidi="ar-SA"/>
        </w:rPr>
        <w:t>队伍建设。</w:t>
      </w:r>
      <w:r>
        <w:rPr>
          <w:rFonts w:hint="eastAsia" w:ascii="TimesNewRoman" w:hAnsi="TimesNewRoman" w:eastAsia="仿宋_GB2312" w:cs="TimesNewRoman"/>
          <w:color w:val="auto"/>
          <w:kern w:val="2"/>
          <w:sz w:val="32"/>
          <w:szCs w:val="32"/>
          <w:lang w:val="en-US" w:eastAsia="zh-CN" w:bidi="ar-SA"/>
        </w:rPr>
        <w:t>举办培训班，采取参观学习、专题讲座等方法，</w:t>
      </w:r>
      <w:r>
        <w:rPr>
          <w:rFonts w:hint="eastAsia" w:ascii="TimesNewRoman" w:hAnsi="TimesNewRoman" w:cs="TimesNewRoman"/>
          <w:color w:val="auto"/>
          <w:kern w:val="2"/>
          <w:sz w:val="32"/>
          <w:szCs w:val="32"/>
          <w:lang w:val="en-US" w:eastAsia="zh-CN" w:bidi="ar-SA"/>
        </w:rPr>
        <w:t>开展</w:t>
      </w:r>
      <w:r>
        <w:rPr>
          <w:rFonts w:hint="eastAsia" w:ascii="TimesNewRoman" w:hAnsi="TimesNewRoman" w:eastAsia="仿宋_GB2312" w:cs="TimesNewRoman"/>
          <w:color w:val="auto"/>
          <w:kern w:val="2"/>
          <w:sz w:val="32"/>
          <w:szCs w:val="32"/>
          <w:lang w:val="en-US" w:eastAsia="zh-CN" w:bidi="ar-SA"/>
        </w:rPr>
        <w:t>法律、税务等方面的培训，提高</w:t>
      </w:r>
      <w:r>
        <w:rPr>
          <w:rFonts w:hint="eastAsia" w:ascii="TimesNewRoman" w:hAnsi="TimesNewRoman" w:cs="TimesNewRoman"/>
          <w:color w:val="auto"/>
          <w:kern w:val="2"/>
          <w:sz w:val="32"/>
          <w:szCs w:val="32"/>
          <w:lang w:val="en-US" w:eastAsia="zh-CN" w:bidi="ar-SA"/>
        </w:rPr>
        <w:t>民营经济人士</w:t>
      </w:r>
      <w:r>
        <w:rPr>
          <w:rFonts w:hint="eastAsia" w:ascii="TimesNewRoman" w:hAnsi="TimesNewRoman" w:eastAsia="仿宋_GB2312" w:cs="TimesNewRoman"/>
          <w:color w:val="auto"/>
          <w:kern w:val="2"/>
          <w:sz w:val="32"/>
          <w:szCs w:val="32"/>
          <w:lang w:val="en-US" w:eastAsia="zh-CN" w:bidi="ar-SA"/>
        </w:rPr>
        <w:t>的法律意识。制定执委履职评价办法，探索建立执委履职档案制度，做好执委履职服务工作。吸纳有一定影响力的行业商协会和区域性综合商会作为团体会员。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w:t>
      </w:r>
      <w:r>
        <w:rPr>
          <w:rFonts w:hint="eastAsia" w:ascii="TimesNewRoman" w:hAnsi="TimesNewRoman" w:cs="TimesNewRoman"/>
          <w:bCs/>
          <w:sz w:val="32"/>
          <w:szCs w:val="32"/>
          <w:lang w:val="en-US" w:eastAsia="zh-CN"/>
        </w:rPr>
        <w:t>五</w:t>
      </w:r>
      <w:r>
        <w:rPr>
          <w:rFonts w:ascii="TimesNewRoman" w:hAnsi="TimesNewRoman" w:eastAsia="仿宋_GB2312" w:cs="TimesNewRoman"/>
          <w:bCs/>
          <w:sz w:val="32"/>
          <w:szCs w:val="32"/>
        </w:rPr>
        <w:t>）</w:t>
      </w:r>
      <w:r>
        <w:rPr>
          <w:rFonts w:hint="eastAsia" w:ascii="TimesNewRoman" w:hAnsi="TimesNewRoman" w:eastAsia="仿宋_GB2312" w:cs="TimesNewRoman"/>
          <w:color w:val="auto"/>
          <w:kern w:val="2"/>
          <w:sz w:val="32"/>
          <w:szCs w:val="32"/>
          <w:lang w:val="en-US" w:eastAsia="zh-CN" w:bidi="ar-SA"/>
        </w:rPr>
        <w:t>聚力抓好</w:t>
      </w:r>
      <w:r>
        <w:rPr>
          <w:rFonts w:hint="eastAsia" w:ascii="TimesNewRoman" w:hAnsi="TimesNewRoman" w:eastAsia="仿宋_GB2312" w:cs="TimesNewRoman"/>
          <w:color w:val="auto"/>
          <w:kern w:val="2"/>
          <w:sz w:val="32"/>
          <w:szCs w:val="32"/>
          <w:lang w:val="zh-TW" w:eastAsia="zh-TW" w:bidi="ar-SA"/>
        </w:rPr>
        <w:t>优化营商环境。拓展商调会调解工作领域，更好发挥商调会服务企业作用。完善银企对接机制，积极搭建银企对接平台，拓宽中小企业融资渠道，助推民营企业健康发展。深入企业开展调查研究，协助帮助解决困难问题，不断优化营商环境。</w:t>
      </w:r>
      <w:r>
        <w:rPr>
          <w:rFonts w:hint="eastAsia" w:ascii="TimesNewRoman" w:hAnsi="TimesNewRoman" w:eastAsia="仿宋_GB2312" w:cs="TimesNewRoman"/>
          <w:color w:val="auto"/>
          <w:kern w:val="2"/>
          <w:sz w:val="32"/>
          <w:szCs w:val="32"/>
          <w:lang w:val="en-US" w:eastAsia="zh-CN" w:bidi="ar-SA"/>
        </w:rPr>
        <w:t>做好全县28个民营企业调查点评营商环境的工作指导。</w:t>
      </w:r>
    </w:p>
    <w:p>
      <w:pPr>
        <w:pStyle w:val="12"/>
        <w:keepNext w:val="0"/>
        <w:keepLines w:val="0"/>
        <w:pageBreakBefore w:val="0"/>
        <w:widowControl w:val="0"/>
        <w:kinsoku/>
        <w:wordWrap/>
        <w:overflowPunct/>
        <w:topLinePunct w:val="0"/>
        <w:autoSpaceDE/>
        <w:autoSpaceDN/>
        <w:bidi w:val="0"/>
        <w:adjustRightInd/>
        <w:snapToGrid/>
        <w:spacing w:line="360" w:lineRule="auto"/>
        <w:ind w:firstLine="643"/>
        <w:textAlignment w:val="auto"/>
        <w:outlineLvl w:val="1"/>
        <w:rPr>
          <w:rFonts w:hint="eastAsia" w:ascii="TimesNewRoman" w:hAnsi="TimesNewRoman" w:eastAsia="仿宋_GB2312" w:cs="TimesNewRoman"/>
          <w:color w:val="auto"/>
          <w:kern w:val="2"/>
          <w:sz w:val="32"/>
          <w:szCs w:val="32"/>
          <w:lang w:val="en-US" w:eastAsia="zh-CN" w:bidi="ar-SA"/>
        </w:rPr>
      </w:pPr>
      <w:r>
        <w:rPr>
          <w:rFonts w:ascii="TimesNewRoman" w:hAnsi="TimesNewRoman" w:eastAsia="仿宋_GB2312" w:cs="TimesNewRoman"/>
          <w:bCs/>
          <w:sz w:val="32"/>
          <w:szCs w:val="32"/>
        </w:rPr>
        <w:t>（</w:t>
      </w:r>
      <w:r>
        <w:rPr>
          <w:rFonts w:hint="eastAsia" w:ascii="TimesNewRoman" w:hAnsi="TimesNewRoman" w:eastAsia="仿宋_GB2312" w:cs="TimesNewRoman"/>
          <w:bCs/>
          <w:sz w:val="32"/>
          <w:szCs w:val="32"/>
          <w:lang w:val="en-US" w:eastAsia="zh-CN"/>
        </w:rPr>
        <w:t>六</w:t>
      </w:r>
      <w:r>
        <w:rPr>
          <w:rFonts w:ascii="TimesNewRoman" w:hAnsi="TimesNewRoman" w:eastAsia="仿宋_GB2312" w:cs="TimesNewRoman"/>
          <w:bCs/>
          <w:sz w:val="32"/>
          <w:szCs w:val="32"/>
        </w:rPr>
        <w:t>）</w:t>
      </w:r>
      <w:r>
        <w:rPr>
          <w:rFonts w:hint="eastAsia" w:ascii="TimesNewRoman" w:hAnsi="TimesNewRoman" w:eastAsia="仿宋_GB2312" w:cs="TimesNewRoman"/>
          <w:color w:val="auto"/>
          <w:kern w:val="2"/>
          <w:sz w:val="32"/>
          <w:szCs w:val="32"/>
          <w:lang w:val="en-US" w:eastAsia="zh-CN" w:bidi="ar-SA"/>
        </w:rPr>
        <w:t>聚力抓好</w:t>
      </w:r>
      <w:r>
        <w:rPr>
          <w:rFonts w:hint="eastAsia" w:ascii="TimesNewRoman" w:hAnsi="TimesNewRoman" w:eastAsia="仿宋_GB2312" w:cs="TimesNewRoman"/>
          <w:color w:val="auto"/>
          <w:kern w:val="2"/>
          <w:sz w:val="32"/>
          <w:szCs w:val="32"/>
          <w:lang w:val="zh-TW" w:eastAsia="zh-TW" w:bidi="ar-SA"/>
        </w:rPr>
        <w:t>“万企兴万村”</w:t>
      </w:r>
      <w:r>
        <w:rPr>
          <w:rFonts w:hint="eastAsia" w:ascii="TimesNewRoman" w:hAnsi="TimesNewRoman" w:eastAsia="仿宋_GB2312" w:cs="TimesNewRoman"/>
          <w:color w:val="auto"/>
          <w:kern w:val="2"/>
          <w:sz w:val="32"/>
          <w:szCs w:val="32"/>
          <w:lang w:val="en-US" w:eastAsia="zh-CN" w:bidi="ar-SA"/>
        </w:rPr>
        <w:t>行动</w:t>
      </w:r>
      <w:r>
        <w:rPr>
          <w:rFonts w:hint="eastAsia" w:ascii="TimesNewRoman" w:hAnsi="TimesNewRoman" w:eastAsia="仿宋_GB2312" w:cs="TimesNewRoman"/>
          <w:color w:val="auto"/>
          <w:kern w:val="2"/>
          <w:sz w:val="32"/>
          <w:szCs w:val="32"/>
          <w:lang w:val="zh-TW" w:eastAsia="zh-TW" w:bidi="ar-SA"/>
        </w:rPr>
        <w:t>。</w:t>
      </w:r>
      <w:r>
        <w:rPr>
          <w:rFonts w:hint="eastAsia" w:ascii="TimesNewRoman" w:hAnsi="TimesNewRoman" w:eastAsia="仿宋_GB2312" w:cs="TimesNewRoman"/>
          <w:color w:val="auto"/>
          <w:kern w:val="2"/>
          <w:sz w:val="32"/>
          <w:szCs w:val="32"/>
          <w:lang w:val="en-US" w:eastAsia="zh-CN" w:bidi="ar-SA"/>
        </w:rPr>
        <w:t>按照企业和村双向选择加强村企对接，推动产业扶贫，带动乡村振兴。了解村企业具体帮扶情况，辅助企业做好帮扶工作。引导宿松籍企业家回家兴业。大力引导企业积极参与“万企兴万村”行动，助力乡村振兴。</w:t>
      </w:r>
    </w:p>
    <w:p>
      <w:pPr>
        <w:rPr>
          <w:rFonts w:hint="default" w:eastAsia="仿宋_GB2312"/>
          <w:lang w:val="en-US" w:eastAsia="zh-CN"/>
        </w:rPr>
      </w:pPr>
    </w:p>
    <w:p>
      <w:pPr>
        <w:pStyle w:val="5"/>
        <w:adjustRightInd w:val="0"/>
        <w:snapToGrid w:val="0"/>
        <w:spacing w:line="560" w:lineRule="exact"/>
        <w:ind w:firstLine="480" w:firstLineChars="150"/>
        <w:outlineLvl w:val="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第二部分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年部门预算表</w:t>
      </w:r>
    </w:p>
    <w:p>
      <w:pPr>
        <w:pStyle w:val="5"/>
        <w:adjustRightInd w:val="0"/>
        <w:snapToGrid w:val="0"/>
        <w:spacing w:line="560" w:lineRule="exact"/>
        <w:jc w:val="center"/>
        <w:rPr>
          <w:rFonts w:ascii="TimesNewRoman" w:hAnsi="TimesNewRoman" w:eastAsia="黑体" w:cs="TimesNewRoman"/>
          <w:bCs/>
          <w:sz w:val="36"/>
          <w:szCs w:val="36"/>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部门公开表1</w:t>
      </w:r>
    </w:p>
    <w:p>
      <w:pPr>
        <w:spacing w:beforeLines="50"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工商业联合会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8460" w:type="dxa"/>
        <w:tblInd w:w="0"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w:t>
            </w:r>
          </w:p>
        </w:tc>
        <w:tc>
          <w:tcPr>
            <w:tcW w:w="404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 项 目</w:t>
            </w:r>
          </w:p>
        </w:tc>
        <w:tc>
          <w:tcPr>
            <w:tcW w:w="998"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支出功能分类科目</w:t>
            </w:r>
          </w:p>
        </w:tc>
        <w:tc>
          <w:tcPr>
            <w:tcW w:w="856"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130.33</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rPr>
                <w:rFonts w:ascii="TimesNewRoman" w:hAnsi="TimesNewRoman" w:cs="TimesNewRoman"/>
                <w:kern w:val="0"/>
                <w:sz w:val="18"/>
                <w:szCs w:val="18"/>
              </w:rPr>
            </w:pPr>
            <w:r>
              <w:rPr>
                <w:rFonts w:ascii="TimesNewRoman" w:hAnsi="TimesNewRoman" w:cs="TimesNewRoman"/>
                <w:kern w:val="0"/>
                <w:sz w:val="20"/>
              </w:rPr>
              <w:t>三、国有资本经营预算拨款收入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其中：中央转移支付收入</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18.10</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3.21</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四、财政专户管理资金收入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五、单位资金收入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其中：事业收入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856" w:type="dxa"/>
            <w:tcBorders>
              <w:top w:val="single" w:color="auto" w:sz="4" w:space="0"/>
              <w:left w:val="single" w:color="auto" w:sz="4" w:space="0"/>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事业单位经营收入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上级补助收入</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856"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附属单位上缴收入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85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kern w:val="0"/>
                <w:sz w:val="20"/>
              </w:rPr>
              <w:t>收            入</w:t>
            </w:r>
          </w:p>
        </w:tc>
        <w:tc>
          <w:tcPr>
            <w:tcW w:w="40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kern w:val="0"/>
                <w:sz w:val="20"/>
              </w:rPr>
              <w:t>支          出</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其他收入</w:t>
            </w:r>
          </w:p>
        </w:tc>
        <w:tc>
          <w:tcPr>
            <w:tcW w:w="99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85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856" w:type="dxa"/>
            <w:tcBorders>
              <w:top w:val="single" w:color="auto" w:sz="4" w:space="0"/>
              <w:left w:val="nil"/>
              <w:bottom w:val="nil"/>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7.90</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856"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98"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收  入  小  计</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b/>
                <w:bCs/>
                <w:kern w:val="0"/>
                <w:sz w:val="18"/>
                <w:szCs w:val="18"/>
                <w:lang w:val="en-US" w:eastAsia="zh-CN"/>
              </w:rPr>
              <w:t>159.54</w:t>
            </w:r>
            <w:r>
              <w:rPr>
                <w:rFonts w:ascii="TimesNewRoman" w:hAnsi="TimesNewRoman" w:cs="TimesNewRoman"/>
                <w:b/>
                <w:bCs/>
                <w:kern w:val="0"/>
                <w:sz w:val="18"/>
                <w:szCs w:val="18"/>
              </w:rPr>
              <w:t>　</w:t>
            </w: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支  出  小  计</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b/>
                <w:bCs/>
                <w:kern w:val="0"/>
                <w:sz w:val="18"/>
                <w:szCs w:val="18"/>
                <w:lang w:val="en-US" w:eastAsia="zh-CN"/>
              </w:rPr>
              <w:t>159.54</w:t>
            </w:r>
            <w:r>
              <w:rPr>
                <w:rFonts w:ascii="TimesNewRoman" w:hAnsi="TimesNewRoman" w:cs="TimesNewRoman"/>
                <w:b/>
                <w:bCs/>
                <w:kern w:val="0"/>
                <w:sz w:val="18"/>
                <w:szCs w:val="18"/>
              </w:rPr>
              <w:t>　</w:t>
            </w: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上年</w:t>
            </w:r>
            <w:r>
              <w:rPr>
                <w:rFonts w:hint="eastAsia" w:ascii="TimesNewRoman" w:hAnsi="TimesNewRoman" w:cs="TimesNewRoman"/>
                <w:kern w:val="0"/>
                <w:sz w:val="20"/>
              </w:rPr>
              <w:t>结转数</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hint="eastAsia" w:ascii="TimesNewRoman" w:hAnsi="TimesNewRoman" w:cs="TimesNewRoman"/>
                <w:kern w:val="0"/>
                <w:sz w:val="20"/>
              </w:rPr>
              <w:t>结转下年</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99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998" w:type="dxa"/>
            <w:tcBorders>
              <w:top w:val="nil"/>
              <w:left w:val="nil"/>
              <w:bottom w:val="single" w:color="auto" w:sz="4" w:space="0"/>
              <w:right w:val="single" w:color="auto" w:sz="4" w:space="0"/>
            </w:tcBorders>
            <w:noWrap/>
            <w:vAlign w:val="bottom"/>
          </w:tcPr>
          <w:p>
            <w:pPr>
              <w:widowControl/>
              <w:spacing w:line="5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159.54</w:t>
            </w:r>
            <w:r>
              <w:rPr>
                <w:rFonts w:ascii="TimesNewRoman" w:hAnsi="TimesNewRoman" w:cs="TimesNewRoman"/>
                <w:b/>
                <w:bCs/>
                <w:kern w:val="0"/>
                <w:sz w:val="18"/>
                <w:szCs w:val="18"/>
              </w:rPr>
              <w:t>　</w:t>
            </w:r>
          </w:p>
        </w:tc>
        <w:tc>
          <w:tcPr>
            <w:tcW w:w="3184"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856"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r>
    </w:tbl>
    <w:p>
      <w:pPr>
        <w:spacing w:line="560" w:lineRule="exact"/>
        <w:rPr>
          <w:rFonts w:ascii="TimesNewRoman" w:hAnsi="TimesNewRoman" w:cs="TimesNewRoman"/>
          <w:kern w:val="0"/>
          <w:sz w:val="20"/>
        </w:rPr>
        <w:sectPr>
          <w:footerReference r:id="rId3" w:type="default"/>
          <w:pgSz w:w="11906" w:h="16838"/>
          <w:pgMar w:top="1440" w:right="1800" w:bottom="1440" w:left="1800" w:header="851" w:footer="992" w:gutter="0"/>
          <w:pgNumType w:fmt="numberInDash" w:start="7"/>
          <w:cols w:space="720" w:num="1"/>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部门公开表2</w:t>
      </w:r>
    </w:p>
    <w:p>
      <w:pPr>
        <w:spacing w:beforeLines="50"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工商业联合会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18691" w:type="dxa"/>
        <w:tblInd w:w="-591" w:type="dxa"/>
        <w:tblLayout w:type="fixed"/>
        <w:tblCellMar>
          <w:top w:w="0" w:type="dxa"/>
          <w:left w:w="108" w:type="dxa"/>
          <w:bottom w:w="0" w:type="dxa"/>
          <w:right w:w="108" w:type="dxa"/>
        </w:tblCellMar>
      </w:tblPr>
      <w:tblGrid>
        <w:gridCol w:w="1294"/>
        <w:gridCol w:w="1181"/>
        <w:gridCol w:w="900"/>
        <w:gridCol w:w="844"/>
        <w:gridCol w:w="872"/>
        <w:gridCol w:w="680"/>
        <w:gridCol w:w="680"/>
        <w:gridCol w:w="680"/>
        <w:gridCol w:w="680"/>
        <w:gridCol w:w="680"/>
        <w:gridCol w:w="680"/>
        <w:gridCol w:w="680"/>
        <w:gridCol w:w="680"/>
        <w:gridCol w:w="680"/>
        <w:gridCol w:w="680"/>
        <w:gridCol w:w="680"/>
        <w:gridCol w:w="680"/>
        <w:gridCol w:w="680"/>
        <w:gridCol w:w="680"/>
        <w:gridCol w:w="4080"/>
      </w:tblGrid>
      <w:tr>
        <w:tblPrEx>
          <w:tblCellMar>
            <w:top w:w="0" w:type="dxa"/>
            <w:left w:w="108" w:type="dxa"/>
            <w:bottom w:w="0" w:type="dxa"/>
            <w:right w:w="108" w:type="dxa"/>
          </w:tblCellMar>
        </w:tblPrEx>
        <w:trPr>
          <w:trHeight w:val="420" w:hRule="atLeast"/>
        </w:trPr>
        <w:tc>
          <w:tcPr>
            <w:tcW w:w="129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部门名称</w:t>
            </w:r>
          </w:p>
        </w:tc>
        <w:tc>
          <w:tcPr>
            <w:tcW w:w="118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合计</w:t>
            </w:r>
          </w:p>
        </w:tc>
        <w:tc>
          <w:tcPr>
            <w:tcW w:w="8056" w:type="dxa"/>
            <w:gridSpan w:val="11"/>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本年收入</w:t>
            </w:r>
          </w:p>
        </w:tc>
        <w:tc>
          <w:tcPr>
            <w:tcW w:w="4080" w:type="dxa"/>
            <w:gridSpan w:val="6"/>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上年结转结余</w:t>
            </w:r>
          </w:p>
        </w:tc>
        <w:tc>
          <w:tcPr>
            <w:tcW w:w="408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p>
        </w:tc>
      </w:tr>
      <w:tr>
        <w:tblPrEx>
          <w:tblCellMar>
            <w:top w:w="0" w:type="dxa"/>
            <w:left w:w="108" w:type="dxa"/>
            <w:bottom w:w="0" w:type="dxa"/>
            <w:right w:w="108" w:type="dxa"/>
          </w:tblCellMar>
        </w:tblPrEx>
        <w:trPr>
          <w:trHeight w:val="356" w:hRule="atLeast"/>
        </w:trPr>
        <w:tc>
          <w:tcPr>
            <w:tcW w:w="129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kern w:val="0"/>
                <w:sz w:val="20"/>
              </w:rPr>
            </w:pPr>
          </w:p>
        </w:tc>
        <w:tc>
          <w:tcPr>
            <w:tcW w:w="118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kern w:val="0"/>
                <w:sz w:val="20"/>
              </w:rPr>
            </w:pPr>
          </w:p>
        </w:tc>
        <w:tc>
          <w:tcPr>
            <w:tcW w:w="90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844"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一般公共预算</w:t>
            </w:r>
          </w:p>
        </w:tc>
        <w:tc>
          <w:tcPr>
            <w:tcW w:w="872"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政府性基金预算</w:t>
            </w:r>
          </w:p>
        </w:tc>
        <w:tc>
          <w:tcPr>
            <w:tcW w:w="680"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国有资本经营预算</w:t>
            </w:r>
          </w:p>
        </w:tc>
        <w:tc>
          <w:tcPr>
            <w:tcW w:w="680"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财政专户管理资金</w:t>
            </w:r>
          </w:p>
        </w:tc>
        <w:tc>
          <w:tcPr>
            <w:tcW w:w="4080" w:type="dxa"/>
            <w:gridSpan w:val="6"/>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单位资金</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一般公共预算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政府性基金预算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国有资本经营预算</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财政专户管理资金</w:t>
            </w:r>
          </w:p>
        </w:tc>
        <w:tc>
          <w:tcPr>
            <w:tcW w:w="680" w:type="dxa"/>
            <w:vMerge w:val="restart"/>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单位资金</w:t>
            </w:r>
          </w:p>
        </w:tc>
        <w:tc>
          <w:tcPr>
            <w:tcW w:w="4080" w:type="dxa"/>
            <w:tcBorders>
              <w:top w:val="nil"/>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p>
        </w:tc>
      </w:tr>
      <w:tr>
        <w:tblPrEx>
          <w:tblCellMar>
            <w:top w:w="0" w:type="dxa"/>
            <w:left w:w="108" w:type="dxa"/>
            <w:bottom w:w="0" w:type="dxa"/>
            <w:right w:w="108" w:type="dxa"/>
          </w:tblCellMar>
        </w:tblPrEx>
        <w:trPr>
          <w:trHeight w:val="2163" w:hRule="atLeast"/>
        </w:trPr>
        <w:tc>
          <w:tcPr>
            <w:tcW w:w="129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8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44"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872"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小计</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事业     收入</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事业单位经营收入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上级补助收入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附属单位上缴收入</w:t>
            </w:r>
          </w:p>
        </w:tc>
        <w:tc>
          <w:tcPr>
            <w:tcW w:w="680" w:type="dxa"/>
            <w:tcBorders>
              <w:top w:val="nil"/>
              <w:left w:val="nil"/>
              <w:bottom w:val="nil"/>
              <w:right w:val="single" w:color="auto" w:sz="4" w:space="0"/>
            </w:tcBorders>
            <w:noWrap/>
            <w:vAlign w:val="center"/>
          </w:tcPr>
          <w:p>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其他   收入</w:t>
            </w: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680" w:type="dxa"/>
            <w:vMerge w:val="continue"/>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4080" w:type="dxa"/>
            <w:tcBorders>
              <w:top w:val="nil"/>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kern w:val="0"/>
                <w:sz w:val="20"/>
              </w:rPr>
            </w:pPr>
          </w:p>
        </w:tc>
      </w:tr>
      <w:tr>
        <w:tblPrEx>
          <w:tblCellMar>
            <w:top w:w="0" w:type="dxa"/>
            <w:left w:w="108" w:type="dxa"/>
            <w:bottom w:w="0" w:type="dxa"/>
            <w:right w:w="108" w:type="dxa"/>
          </w:tblCellMar>
        </w:tblPrEx>
        <w:trPr>
          <w:trHeight w:val="360" w:hRule="atLeast"/>
        </w:trPr>
        <w:tc>
          <w:tcPr>
            <w:tcW w:w="12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宿松县工商业联合会部门</w:t>
            </w:r>
          </w:p>
        </w:tc>
        <w:tc>
          <w:tcPr>
            <w:tcW w:w="11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9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8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872"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408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360" w:hRule="atLeast"/>
        </w:trPr>
        <w:tc>
          <w:tcPr>
            <w:tcW w:w="12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宿松县工商业联合会本级</w:t>
            </w:r>
          </w:p>
        </w:tc>
        <w:tc>
          <w:tcPr>
            <w:tcW w:w="11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84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159.54</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40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360" w:hRule="atLeast"/>
        </w:trPr>
        <w:tc>
          <w:tcPr>
            <w:tcW w:w="129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8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84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872"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40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bl>
    <w:p>
      <w:pPr>
        <w:spacing w:line="560" w:lineRule="exact"/>
        <w:rPr>
          <w:rFonts w:ascii="TimesNewRoman" w:hAnsi="TimesNewRoman" w:cs="TimesNewRoman"/>
        </w:rPr>
        <w:sectPr>
          <w:pgSz w:w="16838" w:h="11906" w:orient="landscape"/>
          <w:pgMar w:top="1797" w:right="1440" w:bottom="1797" w:left="1440" w:header="851" w:footer="992" w:gutter="0"/>
          <w:pgNumType w:fmt="numberInDash"/>
          <w:cols w:space="720" w:num="1"/>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部门公开表3</w:t>
      </w:r>
    </w:p>
    <w:p>
      <w:pPr>
        <w:spacing w:beforeLines="50" w:afterLines="50" w:line="560" w:lineRule="exact"/>
        <w:jc w:val="center"/>
        <w:rPr>
          <w:rFonts w:ascii="TimesNewRoman" w:hAnsi="TimesNewRoman" w:cs="TimesNewRoman"/>
          <w:kern w:val="0"/>
          <w:sz w:val="20"/>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工商业联合会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年支出总表</w:t>
      </w:r>
    </w:p>
    <w:p>
      <w:pPr>
        <w:spacing w:line="560" w:lineRule="exact"/>
        <w:jc w:val="right"/>
        <w:rPr>
          <w:rFonts w:ascii="TimesNewRoman" w:hAnsi="TimesNewRoman" w:cs="TimesNewRoman"/>
          <w:kern w:val="0"/>
          <w:sz w:val="20"/>
        </w:rPr>
      </w:pPr>
      <w:r>
        <w:rPr>
          <w:rFonts w:ascii="TimesNewRoman" w:hAnsi="TimesNewRoman" w:cs="TimesNewRoman"/>
          <w:kern w:val="0"/>
          <w:sz w:val="20"/>
        </w:rPr>
        <w:t>单位：万元</w:t>
      </w:r>
    </w:p>
    <w:tbl>
      <w:tblPr>
        <w:tblStyle w:val="6"/>
        <w:tblW w:w="8931" w:type="dxa"/>
        <w:tblInd w:w="0" w:type="dxa"/>
        <w:tblLayout w:type="fixed"/>
        <w:tblCellMar>
          <w:top w:w="0" w:type="dxa"/>
          <w:left w:w="108" w:type="dxa"/>
          <w:bottom w:w="0" w:type="dxa"/>
          <w:right w:w="108" w:type="dxa"/>
        </w:tblCellMar>
      </w:tblPr>
      <w:tblGrid>
        <w:gridCol w:w="1054"/>
        <w:gridCol w:w="2639"/>
        <w:gridCol w:w="862"/>
        <w:gridCol w:w="929"/>
        <w:gridCol w:w="740"/>
        <w:gridCol w:w="920"/>
        <w:gridCol w:w="870"/>
        <w:gridCol w:w="917"/>
      </w:tblGrid>
      <w:tr>
        <w:tblPrEx>
          <w:tblCellMar>
            <w:top w:w="0" w:type="dxa"/>
            <w:left w:w="108" w:type="dxa"/>
            <w:bottom w:w="0" w:type="dxa"/>
            <w:right w:w="108" w:type="dxa"/>
          </w:tblCellMar>
        </w:tblPrEx>
        <w:trPr>
          <w:trHeight w:val="690" w:hRule="atLeast"/>
        </w:trPr>
        <w:tc>
          <w:tcPr>
            <w:tcW w:w="105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639"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862"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929"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74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c>
          <w:tcPr>
            <w:tcW w:w="92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事业单位经营支出</w:t>
            </w:r>
          </w:p>
        </w:tc>
        <w:tc>
          <w:tcPr>
            <w:tcW w:w="8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上缴上级支出</w:t>
            </w:r>
          </w:p>
        </w:tc>
        <w:tc>
          <w:tcPr>
            <w:tcW w:w="917"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对附属单位补助支出</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一般公共服务支出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130.33</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49.00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民主党派及工商联事务</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130.33</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49.00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2012801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行政运行</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98.33</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17.00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2012899</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其他民主党派及工商联事务支出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32.00</w:t>
            </w:r>
          </w:p>
        </w:tc>
        <w:tc>
          <w:tcPr>
            <w:tcW w:w="929"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32.00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行政单位离退休</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2080505</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2080506</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卫生健康支出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行政事业单位医疗</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2101101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行政单位医疗</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住房保障支出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住房改革支出</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0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2210201</w:t>
            </w:r>
          </w:p>
        </w:tc>
        <w:tc>
          <w:tcPr>
            <w:tcW w:w="26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住房公积金</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74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3693"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159.54</w:t>
            </w:r>
          </w:p>
        </w:tc>
        <w:tc>
          <w:tcPr>
            <w:tcW w:w="92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110.54</w:t>
            </w:r>
          </w:p>
        </w:tc>
        <w:tc>
          <w:tcPr>
            <w:tcW w:w="74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49.00</w:t>
            </w:r>
          </w:p>
        </w:tc>
        <w:tc>
          <w:tcPr>
            <w:tcW w:w="9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1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spacing w:line="560" w:lineRule="exact"/>
        <w:rPr>
          <w:rFonts w:ascii="TimesNewRoman" w:hAnsi="TimesNewRoman" w:cs="TimesNewRoman"/>
        </w:rPr>
      </w:pPr>
    </w:p>
    <w:p>
      <w:pPr>
        <w:spacing w:line="560" w:lineRule="exact"/>
        <w:rPr>
          <w:rFonts w:ascii="TimesNewRoman" w:hAnsi="TimesNewRoman" w:cs="TimesNewRoman"/>
          <w:kern w:val="0"/>
          <w:sz w:val="20"/>
        </w:rPr>
      </w:pPr>
      <w:r>
        <w:rPr>
          <w:rFonts w:ascii="TimesNewRoman" w:hAnsi="TimesNewRoman" w:cs="TimesNewRoman"/>
          <w:kern w:val="0"/>
          <w:sz w:val="20"/>
        </w:rPr>
        <w:t xml:space="preserve">                                                             部门公开表4</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工商业联合会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8416" w:type="dxa"/>
        <w:tblInd w:w="0"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w:t>
            </w:r>
          </w:p>
        </w:tc>
        <w:tc>
          <w:tcPr>
            <w:tcW w:w="4639"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059"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171"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一、本年收入</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130.33</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二、上年结转</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18.10</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3.21</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1171" w:type="dxa"/>
            <w:tcBorders>
              <w:top w:val="nil"/>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收      入</w:t>
            </w:r>
          </w:p>
        </w:tc>
        <w:tc>
          <w:tcPr>
            <w:tcW w:w="46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ascii="TimesNewRoman" w:hAnsi="TimesNewRoman" w:cs="TimesNewRoman"/>
                <w:b/>
                <w:bCs/>
                <w:kern w:val="0"/>
                <w:sz w:val="20"/>
              </w:rPr>
              <w:t>支      出</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1171"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1171"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7.90</w:t>
            </w: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二、年终结转结余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（三）国有资本经营预算结转结余</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1059"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0"/>
              </w:rPr>
            </w:pPr>
            <w:r>
              <w:rPr>
                <w:rFonts w:hint="eastAsia" w:ascii="TimesNewRoman" w:hAnsi="TimesNewRoman" w:cs="TimesNewRoman"/>
                <w:b/>
                <w:bCs/>
                <w:kern w:val="0"/>
                <w:sz w:val="20"/>
                <w:lang w:val="en-US" w:eastAsia="zh-CN"/>
              </w:rPr>
              <w:t>159.54</w:t>
            </w:r>
            <w:r>
              <w:rPr>
                <w:rFonts w:ascii="TimesNewRoman" w:hAnsi="TimesNewRoman" w:cs="TimesNewRoman"/>
                <w:b/>
                <w:bCs/>
                <w:kern w:val="0"/>
                <w:sz w:val="20"/>
              </w:rPr>
              <w:t>　</w:t>
            </w:r>
          </w:p>
        </w:tc>
        <w:tc>
          <w:tcPr>
            <w:tcW w:w="3468"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1171"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159.54</w:t>
            </w:r>
            <w:r>
              <w:rPr>
                <w:rFonts w:ascii="TimesNewRoman" w:hAnsi="TimesNewRoman" w:cs="TimesNewRoman"/>
                <w:kern w:val="0"/>
                <w:sz w:val="20"/>
              </w:rPr>
              <w:t>　</w:t>
            </w:r>
          </w:p>
        </w:tc>
      </w:tr>
    </w:tbl>
    <w:p>
      <w:pPr>
        <w:spacing w:line="560" w:lineRule="exact"/>
        <w:ind w:firstLine="6300" w:firstLineChars="3150"/>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p>
      <w:pPr>
        <w:pStyle w:val="2"/>
        <w:rPr>
          <w:rFonts w:ascii="TimesNewRoman" w:hAnsi="TimesNewRoman" w:cs="TimesNewRoman"/>
          <w:kern w:val="0"/>
          <w:sz w:val="20"/>
        </w:rPr>
      </w:pPr>
    </w:p>
    <w:p>
      <w:pPr>
        <w:pStyle w:val="2"/>
        <w:rPr>
          <w:rFonts w:ascii="TimesNewRoman" w:hAnsi="TimesNewRoman" w:cs="TimesNewRoman"/>
          <w:kern w:val="0"/>
          <w:sz w:val="20"/>
        </w:rPr>
      </w:pPr>
    </w:p>
    <w:p>
      <w:pPr>
        <w:pStyle w:val="2"/>
        <w:rPr>
          <w:rFonts w:ascii="TimesNewRoman" w:hAnsi="TimesNewRoman" w:cs="TimesNewRoman"/>
          <w:kern w:val="0"/>
          <w:sz w:val="20"/>
        </w:rPr>
      </w:pPr>
    </w:p>
    <w:p>
      <w:pPr>
        <w:pStyle w:val="2"/>
        <w:rPr>
          <w:rFonts w:ascii="TimesNewRoman" w:hAnsi="TimesNewRoman" w:cs="TimesNewRoman"/>
          <w:kern w:val="0"/>
          <w:sz w:val="20"/>
        </w:rPr>
      </w:pPr>
    </w:p>
    <w:p>
      <w:pPr>
        <w:pStyle w:val="2"/>
        <w:rPr>
          <w:rFonts w:ascii="TimesNewRoman" w:hAnsi="TimesNewRoman" w:cs="TimesNewRoman"/>
          <w:kern w:val="0"/>
          <w:sz w:val="20"/>
        </w:r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部门公开表5</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工商业联合会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8925" w:type="dxa"/>
        <w:tblInd w:w="0" w:type="dxa"/>
        <w:tblLayout w:type="fixed"/>
        <w:tblCellMar>
          <w:top w:w="0" w:type="dxa"/>
          <w:left w:w="108" w:type="dxa"/>
          <w:bottom w:w="0" w:type="dxa"/>
          <w:right w:w="108" w:type="dxa"/>
        </w:tblCellMar>
      </w:tblPr>
      <w:tblGrid>
        <w:gridCol w:w="1034"/>
        <w:gridCol w:w="2752"/>
        <w:gridCol w:w="978"/>
        <w:gridCol w:w="830"/>
        <w:gridCol w:w="1130"/>
        <w:gridCol w:w="1100"/>
        <w:gridCol w:w="1101"/>
      </w:tblGrid>
      <w:tr>
        <w:tblPrEx>
          <w:tblCellMar>
            <w:top w:w="0" w:type="dxa"/>
            <w:left w:w="108" w:type="dxa"/>
            <w:bottom w:w="0" w:type="dxa"/>
            <w:right w:w="108" w:type="dxa"/>
          </w:tblCellMar>
        </w:tblPrEx>
        <w:trPr>
          <w:trHeight w:val="360" w:hRule="atLeast"/>
        </w:trPr>
        <w:tc>
          <w:tcPr>
            <w:tcW w:w="1034"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w:t>
            </w:r>
          </w:p>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编码</w:t>
            </w:r>
          </w:p>
        </w:tc>
        <w:tc>
          <w:tcPr>
            <w:tcW w:w="2752"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978"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306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101"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034"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2752"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97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小计</w:t>
            </w:r>
          </w:p>
        </w:tc>
        <w:tc>
          <w:tcPr>
            <w:tcW w:w="11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人员经费</w:t>
            </w:r>
          </w:p>
        </w:tc>
        <w:tc>
          <w:tcPr>
            <w:tcW w:w="11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公用经费</w:t>
            </w:r>
          </w:p>
        </w:tc>
        <w:tc>
          <w:tcPr>
            <w:tcW w:w="1101"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360" w:hRule="atLeast"/>
        </w:trPr>
        <w:tc>
          <w:tcPr>
            <w:tcW w:w="10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w:t>
            </w:r>
          </w:p>
        </w:tc>
        <w:tc>
          <w:tcPr>
            <w:tcW w:w="27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一般公共服务支出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130.33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66.38</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14.95</w:t>
            </w:r>
          </w:p>
        </w:tc>
        <w:tc>
          <w:tcPr>
            <w:tcW w:w="110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49.00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民主党派及工商联事务</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130.33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66.38</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14.95</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49.00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2012801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行政运行</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98.33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81.33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66.38</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14.95</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17.00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2012899</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其他民主党派及工商联事务支出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32.00</w:t>
            </w:r>
          </w:p>
        </w:tc>
        <w:tc>
          <w:tcPr>
            <w:tcW w:w="8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3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32.00</w:t>
            </w: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18.10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行政单位离退休</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2080505</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2080506</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卫生健康支出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行政事业单位医疗</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2101101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行政单位医疗</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住房保障支出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住房改革支出</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0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2210201</w:t>
            </w:r>
          </w:p>
        </w:tc>
        <w:tc>
          <w:tcPr>
            <w:tcW w:w="27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住房公积金</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100"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c>
          <w:tcPr>
            <w:tcW w:w="1101" w:type="dxa"/>
            <w:tcBorders>
              <w:top w:val="nil"/>
              <w:left w:val="nil"/>
              <w:bottom w:val="single" w:color="auto" w:sz="4" w:space="0"/>
              <w:right w:val="single" w:color="auto" w:sz="4" w:space="0"/>
            </w:tcBorders>
            <w:noWrap/>
            <w:vAlign w:val="center"/>
          </w:tcPr>
          <w:p>
            <w:pPr>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3786"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9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159.54</w:t>
            </w:r>
          </w:p>
        </w:tc>
        <w:tc>
          <w:tcPr>
            <w:tcW w:w="8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110.54</w:t>
            </w:r>
          </w:p>
        </w:tc>
        <w:tc>
          <w:tcPr>
            <w:tcW w:w="113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95.59</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14.95</w:t>
            </w:r>
          </w:p>
        </w:tc>
        <w:tc>
          <w:tcPr>
            <w:tcW w:w="110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49.00</w:t>
            </w:r>
          </w:p>
        </w:tc>
      </w:tr>
    </w:tbl>
    <w:p>
      <w:pPr>
        <w:spacing w:line="560" w:lineRule="exact"/>
        <w:ind w:left="7400" w:hanging="7400" w:hangingChars="3700"/>
        <w:rPr>
          <w:rFonts w:ascii="TimesNewRoman" w:hAnsi="TimesNewRoman" w:cs="TimesNewRoman"/>
          <w:kern w:val="0"/>
          <w:sz w:val="20"/>
        </w:rPr>
      </w:pPr>
    </w:p>
    <w:p>
      <w:pPr>
        <w:rPr>
          <w:rFonts w:ascii="TimesNewRoman" w:hAnsi="TimesNewRoman" w:cs="TimesNewRoman"/>
          <w:kern w:val="0"/>
          <w:sz w:val="20"/>
        </w:rPr>
      </w:pPr>
      <w:r>
        <w:rPr>
          <w:rFonts w:ascii="TimesNewRoman" w:hAnsi="TimesNewRoman" w:cs="TimesNewRoman"/>
          <w:kern w:val="0"/>
          <w:sz w:val="20"/>
        </w:rPr>
        <w:br w:type="page"/>
      </w:r>
    </w:p>
    <w:p>
      <w:pPr>
        <w:spacing w:line="560" w:lineRule="exact"/>
        <w:ind w:left="1376" w:leftChars="430"/>
        <w:jc w:val="right"/>
        <w:rPr>
          <w:rFonts w:ascii="TimesNewRoman" w:hAnsi="TimesNewRoman" w:cs="TimesNewRoman"/>
          <w:kern w:val="0"/>
          <w:sz w:val="20"/>
        </w:rPr>
      </w:pPr>
      <w:r>
        <w:rPr>
          <w:rFonts w:ascii="TimesNewRoman" w:hAnsi="TimesNewRoman" w:cs="TimesNewRoman"/>
          <w:kern w:val="0"/>
          <w:sz w:val="20"/>
        </w:rPr>
        <w:t>部门公开表6</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NewRoman" w:hAnsi="TimesNewRoman" w:eastAsia="华文中宋" w:cs="TimesNewRoman"/>
          <w:b/>
          <w:bCs/>
          <w:kern w:val="0"/>
          <w:sz w:val="28"/>
          <w:szCs w:val="28"/>
        </w:rPr>
      </w:pPr>
      <w:r>
        <w:rPr>
          <w:rFonts w:hint="eastAsia" w:ascii="TimesNewRoman" w:hAnsi="TimesNewRoman" w:eastAsia="华文中宋" w:cs="TimesNewRoman"/>
          <w:b/>
          <w:bCs/>
          <w:kern w:val="0"/>
          <w:sz w:val="28"/>
          <w:szCs w:val="28"/>
        </w:rPr>
        <w:t>宿松县</w:t>
      </w:r>
      <w:r>
        <w:rPr>
          <w:rFonts w:hint="eastAsia" w:ascii="TimesNewRoman" w:hAnsi="TimesNewRoman" w:eastAsia="华文中宋" w:cs="TimesNewRoman"/>
          <w:b/>
          <w:bCs/>
          <w:kern w:val="0"/>
          <w:sz w:val="28"/>
          <w:szCs w:val="28"/>
          <w:lang w:eastAsia="zh-CN"/>
        </w:rPr>
        <w:t>工商业联合会</w:t>
      </w:r>
      <w:r>
        <w:rPr>
          <w:rFonts w:ascii="TimesNewRoman" w:hAnsi="TimesNewRoman" w:eastAsia="华文中宋" w:cs="TimesNewRoman"/>
          <w:b/>
          <w:bCs/>
          <w:kern w:val="0"/>
          <w:sz w:val="28"/>
          <w:szCs w:val="28"/>
        </w:rPr>
        <w:t>202</w:t>
      </w:r>
      <w:r>
        <w:rPr>
          <w:rFonts w:hint="eastAsia" w:ascii="TimesNewRoman" w:hAnsi="TimesNewRoman" w:eastAsia="华文中宋" w:cs="TimesNewRoman"/>
          <w:b/>
          <w:bCs/>
          <w:kern w:val="0"/>
          <w:sz w:val="28"/>
          <w:szCs w:val="28"/>
        </w:rPr>
        <w:t>3</w:t>
      </w:r>
      <w:r>
        <w:rPr>
          <w:rFonts w:ascii="TimesNewRoman" w:hAnsi="TimesNewRoman" w:eastAsia="华文中宋" w:cs="TimesNewRoman"/>
          <w:b/>
          <w:bCs/>
          <w:kern w:val="0"/>
          <w:sz w:val="28"/>
          <w:szCs w:val="28"/>
        </w:rPr>
        <w:t>年一般公共预算基本支出表</w:t>
      </w:r>
    </w:p>
    <w:p>
      <w:pPr>
        <w:keepNext w:val="0"/>
        <w:keepLines w:val="0"/>
        <w:pageBreakBefore w:val="0"/>
        <w:widowControl w:val="0"/>
        <w:kinsoku/>
        <w:wordWrap/>
        <w:overflowPunct/>
        <w:topLinePunct w:val="0"/>
        <w:autoSpaceDE/>
        <w:autoSpaceDN/>
        <w:bidi w:val="0"/>
        <w:adjustRightInd/>
        <w:snapToGrid/>
        <w:spacing w:line="320" w:lineRule="exact"/>
        <w:ind w:left="0" w:hanging="7400" w:hangingChars="3700"/>
        <w:textAlignment w:val="auto"/>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8465" w:type="dxa"/>
        <w:tblInd w:w="0" w:type="dxa"/>
        <w:tblLayout w:type="fixed"/>
        <w:tblCellMar>
          <w:top w:w="0" w:type="dxa"/>
          <w:left w:w="108" w:type="dxa"/>
          <w:bottom w:w="0" w:type="dxa"/>
          <w:right w:w="108" w:type="dxa"/>
        </w:tblCellMar>
      </w:tblPr>
      <w:tblGrid>
        <w:gridCol w:w="1333"/>
        <w:gridCol w:w="3067"/>
        <w:gridCol w:w="1208"/>
        <w:gridCol w:w="1531"/>
        <w:gridCol w:w="1326"/>
      </w:tblGrid>
      <w:tr>
        <w:tblPrEx>
          <w:tblCellMar>
            <w:top w:w="0" w:type="dxa"/>
            <w:left w:w="108" w:type="dxa"/>
            <w:bottom w:w="0" w:type="dxa"/>
            <w:right w:w="108" w:type="dxa"/>
          </w:tblCellMar>
        </w:tblPrEx>
        <w:trPr>
          <w:trHeight w:val="343" w:hRule="atLeast"/>
        </w:trPr>
        <w:tc>
          <w:tcPr>
            <w:tcW w:w="440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部门预算支出经济分类科目</w:t>
            </w:r>
          </w:p>
        </w:tc>
        <w:tc>
          <w:tcPr>
            <w:tcW w:w="406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本年一般公共预算基本支出</w:t>
            </w:r>
          </w:p>
        </w:tc>
      </w:tr>
      <w:tr>
        <w:tblPrEx>
          <w:tblCellMar>
            <w:top w:w="0" w:type="dxa"/>
            <w:left w:w="108" w:type="dxa"/>
            <w:bottom w:w="0" w:type="dxa"/>
            <w:right w:w="108" w:type="dxa"/>
          </w:tblCellMar>
        </w:tblPrEx>
        <w:trPr>
          <w:trHeight w:val="339"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科目编码</w:t>
            </w:r>
          </w:p>
        </w:tc>
        <w:tc>
          <w:tcPr>
            <w:tcW w:w="306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科目名称</w:t>
            </w:r>
          </w:p>
        </w:tc>
        <w:tc>
          <w:tcPr>
            <w:tcW w:w="120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合计</w:t>
            </w:r>
          </w:p>
        </w:tc>
        <w:tc>
          <w:tcPr>
            <w:tcW w:w="153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人员经费</w:t>
            </w:r>
          </w:p>
        </w:tc>
        <w:tc>
          <w:tcPr>
            <w:tcW w:w="132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NewRoman" w:hAnsi="TimesNewRoman" w:cs="TimesNewRoman"/>
                <w:b/>
                <w:bCs/>
                <w:kern w:val="0"/>
                <w:sz w:val="22"/>
              </w:rPr>
            </w:pPr>
            <w:r>
              <w:rPr>
                <w:rFonts w:ascii="TimesNewRoman" w:hAnsi="TimesNewRoman" w:cs="TimesNewRoman"/>
                <w:b/>
                <w:bCs/>
                <w:kern w:val="0"/>
                <w:sz w:val="22"/>
              </w:rPr>
              <w:t>公用经费</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工资福利支出</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93.29</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93.29</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30101</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基本工资</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33.07</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33.07</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30102</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津贴补贴</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30.01</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30.01</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30103</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奖金</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2.76</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2.76</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30108</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10.53</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30109</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职业年金缴费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5.27</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30110</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3.21</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30112</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其他社会保障缴费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0.54</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0.54</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30113</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住房公积金</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7.90</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商品和服务支出</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13.95</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NewRoman" w:hAnsi="TimesNewRoman" w:cs="TimesNewRoman"/>
                <w:kern w:val="0"/>
                <w:sz w:val="22"/>
                <w:lang w:val="en-US"/>
              </w:rPr>
            </w:pPr>
            <w:r>
              <w:rPr>
                <w:rFonts w:hint="eastAsia" w:ascii="宋体" w:hAnsi="宋体" w:eastAsia="宋体" w:cs="宋体"/>
                <w:i w:val="0"/>
                <w:iCs w:val="0"/>
                <w:color w:val="000000"/>
                <w:kern w:val="0"/>
                <w:sz w:val="20"/>
                <w:szCs w:val="20"/>
                <w:u w:val="none"/>
                <w:lang w:val="en-US" w:eastAsia="zh-CN" w:bidi="ar"/>
              </w:rPr>
              <w:t>13.95</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30201</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办公费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2.23</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2.23</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30205</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水费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0.20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30206</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电费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0.60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30207</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邮电费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0.80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0.80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30209</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物业管理费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0.60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30211</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差旅费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0.50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30213</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汉仪中秀体简" w:hAnsi="汉仪中秀体简" w:eastAsia="汉仪中秀体简" w:cs="汉仪中秀体简"/>
                <w:sz w:val="24"/>
              </w:rPr>
            </w:pPr>
            <w:r>
              <w:rPr>
                <w:rFonts w:hint="eastAsia" w:ascii="宋体" w:hAnsi="宋体" w:eastAsia="宋体" w:cs="宋体"/>
                <w:i w:val="0"/>
                <w:iCs w:val="0"/>
                <w:color w:val="000000"/>
                <w:kern w:val="0"/>
                <w:sz w:val="20"/>
                <w:szCs w:val="20"/>
                <w:u w:val="none"/>
                <w:lang w:val="en-US" w:eastAsia="zh-CN" w:bidi="ar"/>
              </w:rPr>
              <w:t>维修（护）费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0.36</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0.36</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30217</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公务接待费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1.60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1.60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30226</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劳务费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0.48</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0.48</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30227</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委托业务费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0.33</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0.33</w:t>
            </w:r>
          </w:p>
        </w:tc>
      </w:tr>
      <w:tr>
        <w:tblPrEx>
          <w:tblCellMar>
            <w:top w:w="0" w:type="dxa"/>
            <w:left w:w="108" w:type="dxa"/>
            <w:bottom w:w="0" w:type="dxa"/>
            <w:right w:w="108" w:type="dxa"/>
          </w:tblCellMar>
        </w:tblPrEx>
        <w:trPr>
          <w:trHeight w:val="346"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30228</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工会经费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0.59</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jc w:val="center"/>
              <w:rPr>
                <w:rFonts w:hint="default" w:ascii="TimesNewRoman" w:hAnsi="TimesNewRoman" w:eastAsia="仿宋_GB2312" w:cs="TimesNewRoman"/>
                <w:kern w:val="0"/>
                <w:sz w:val="22"/>
                <w:lang w:val="en-US" w:eastAsia="zh-CN"/>
              </w:rPr>
            </w:pPr>
            <w:r>
              <w:rPr>
                <w:rFonts w:hint="eastAsia" w:ascii="宋体" w:hAnsi="宋体" w:eastAsia="宋体" w:cs="宋体"/>
                <w:i w:val="0"/>
                <w:iCs w:val="0"/>
                <w:color w:val="000000"/>
                <w:kern w:val="0"/>
                <w:sz w:val="20"/>
                <w:szCs w:val="20"/>
                <w:u w:val="none"/>
                <w:lang w:val="en-US" w:eastAsia="zh-CN" w:bidi="ar"/>
              </w:rPr>
              <w:t>0.59</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30239</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其他交通费用</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5.36</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5.36</w:t>
            </w:r>
          </w:p>
        </w:tc>
      </w:tr>
      <w:tr>
        <w:tblPrEx>
          <w:tblCellMar>
            <w:top w:w="0" w:type="dxa"/>
            <w:left w:w="108" w:type="dxa"/>
            <w:bottom w:w="0" w:type="dxa"/>
            <w:right w:w="108" w:type="dxa"/>
          </w:tblCellMar>
        </w:tblPrEx>
        <w:trPr>
          <w:trHeight w:val="319"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30299</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303</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30302</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退休费</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2.30</w:t>
            </w:r>
          </w:p>
        </w:tc>
        <w:tc>
          <w:tcPr>
            <w:tcW w:w="1326"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310</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资本性支出</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133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31002</w:t>
            </w:r>
          </w:p>
        </w:tc>
        <w:tc>
          <w:tcPr>
            <w:tcW w:w="306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办公设备购置</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c>
          <w:tcPr>
            <w:tcW w:w="1531" w:type="dxa"/>
            <w:tcBorders>
              <w:top w:val="nil"/>
              <w:left w:val="nil"/>
              <w:bottom w:val="single" w:color="auto" w:sz="4" w:space="0"/>
              <w:right w:val="single" w:color="auto" w:sz="4" w:space="0"/>
            </w:tcBorders>
            <w:noWrap/>
            <w:vAlign w:val="center"/>
          </w:tcPr>
          <w:p>
            <w:pPr>
              <w:jc w:val="center"/>
              <w:rPr>
                <w:rFonts w:ascii="TimesNewRoman" w:hAnsi="TimesNewRoman" w:cs="TimesNewRoman"/>
                <w:kern w:val="0"/>
                <w:sz w:val="22"/>
              </w:rPr>
            </w:pP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4" w:hRule="atLeast"/>
        </w:trPr>
        <w:tc>
          <w:tcPr>
            <w:tcW w:w="4400"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2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110.54</w:t>
            </w:r>
          </w:p>
        </w:tc>
        <w:tc>
          <w:tcPr>
            <w:tcW w:w="15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NewRoman" w:hAnsi="TimesNewRoman" w:cs="TimesNewRoman"/>
                <w:b/>
                <w:bCs/>
                <w:kern w:val="0"/>
                <w:sz w:val="22"/>
                <w:lang w:val="en-US"/>
              </w:rPr>
            </w:pPr>
            <w:r>
              <w:rPr>
                <w:rFonts w:hint="eastAsia" w:ascii="宋体" w:hAnsi="宋体" w:eastAsia="宋体" w:cs="宋体"/>
                <w:i w:val="0"/>
                <w:iCs w:val="0"/>
                <w:color w:val="000000"/>
                <w:kern w:val="0"/>
                <w:sz w:val="20"/>
                <w:szCs w:val="20"/>
                <w:u w:val="none"/>
                <w:lang w:val="en-US" w:eastAsia="zh-CN" w:bidi="ar"/>
              </w:rPr>
              <w:t>95.59</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14.95</w:t>
            </w:r>
          </w:p>
        </w:tc>
      </w:tr>
    </w:tbl>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部门公开表7</w:t>
      </w:r>
    </w:p>
    <w:p>
      <w:pPr>
        <w:widowControl/>
        <w:spacing w:beforeLines="50"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工商业联合会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8505" w:type="dxa"/>
        <w:tblInd w:w="0" w:type="dxa"/>
        <w:tblLayout w:type="fixed"/>
        <w:tblCellMar>
          <w:top w:w="0" w:type="dxa"/>
          <w:left w:w="108" w:type="dxa"/>
          <w:bottom w:w="0" w:type="dxa"/>
          <w:right w:w="108" w:type="dxa"/>
        </w:tblCellMar>
      </w:tblPr>
      <w:tblGrid>
        <w:gridCol w:w="1165"/>
        <w:gridCol w:w="3820"/>
        <w:gridCol w:w="1000"/>
        <w:gridCol w:w="1230"/>
        <w:gridCol w:w="1290"/>
      </w:tblGrid>
      <w:tr>
        <w:tblPrEx>
          <w:tblCellMar>
            <w:top w:w="0" w:type="dxa"/>
            <w:left w:w="108" w:type="dxa"/>
            <w:bottom w:w="0" w:type="dxa"/>
            <w:right w:w="108" w:type="dxa"/>
          </w:tblCellMar>
        </w:tblPrEx>
        <w:trPr>
          <w:trHeight w:val="465" w:hRule="atLeast"/>
        </w:trPr>
        <w:tc>
          <w:tcPr>
            <w:tcW w:w="116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8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3520"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本年政府性基金预算支出</w:t>
            </w:r>
          </w:p>
        </w:tc>
      </w:tr>
      <w:tr>
        <w:tblPrEx>
          <w:tblCellMar>
            <w:top w:w="0" w:type="dxa"/>
            <w:left w:w="108" w:type="dxa"/>
            <w:bottom w:w="0" w:type="dxa"/>
            <w:right w:w="108" w:type="dxa"/>
          </w:tblCellMar>
        </w:tblPrEx>
        <w:trPr>
          <w:trHeight w:val="465" w:hRule="atLeast"/>
        </w:trPr>
        <w:tc>
          <w:tcPr>
            <w:tcW w:w="116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382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23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2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ind w:firstLine="400" w:firstLineChars="200"/>
              <w:jc w:val="left"/>
              <w:rPr>
                <w:rFonts w:ascii="TimesNewRoman" w:hAnsi="TimesNewRoman" w:cs="TimesNewRoman"/>
                <w:kern w:val="0"/>
                <w:sz w:val="20"/>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47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ind w:firstLine="110" w:firstLineChars="50"/>
              <w:jc w:val="left"/>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8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4985"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0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3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9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widowControl/>
        <w:spacing w:line="560" w:lineRule="exact"/>
        <w:jc w:val="left"/>
        <w:rPr>
          <w:rFonts w:ascii="TimesNewRoman" w:hAnsi="TimesNewRoman" w:cs="TimesNewRoman"/>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eastAsia="zh-CN"/>
        </w:rPr>
        <w:t>工商业联合会</w:t>
      </w:r>
      <w:r>
        <w:rPr>
          <w:rFonts w:ascii="TimesNewRoman" w:hAnsi="TimesNewRoman" w:cs="TimesNewRoman"/>
          <w:kern w:val="0"/>
          <w:sz w:val="24"/>
        </w:rPr>
        <w:t>没有政府性基金预算拨款收入，也没有政府性基金预算拨款安排的支出，故本表无数据。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rPr>
          <w:rFonts w:ascii="TimesNewRoman" w:hAnsi="TimesNewRoman" w:cs="TimesNewRoman"/>
        </w:rPr>
      </w:pPr>
      <w:r>
        <w:rPr>
          <w:rFonts w:ascii="TimesNewRoman" w:hAnsi="TimesNewRoman" w:cs="TimesNewRoman"/>
        </w:rPr>
        <w:br w:type="page"/>
      </w:r>
    </w:p>
    <w:p>
      <w:pPr>
        <w:pStyle w:val="5"/>
        <w:adjustRightInd w:val="0"/>
        <w:snapToGrid w:val="0"/>
        <w:spacing w:afterLines="50" w:line="560" w:lineRule="exact"/>
        <w:ind w:right="102"/>
        <w:jc w:val="right"/>
        <w:rPr>
          <w:rFonts w:ascii="TimesNewRoman" w:hAnsi="TimesNewRoman" w:eastAsia="黑体" w:cs="TimesNewRoman"/>
          <w:bCs/>
          <w:sz w:val="36"/>
          <w:szCs w:val="36"/>
        </w:rPr>
      </w:pPr>
      <w:r>
        <w:rPr>
          <w:rFonts w:ascii="TimesNewRoman" w:hAnsi="TimesNewRoman" w:eastAsia="仿宋_GB2312" w:cs="TimesNewRoman"/>
          <w:kern w:val="0"/>
          <w:sz w:val="20"/>
          <w:szCs w:val="20"/>
        </w:rPr>
        <w:t xml:space="preserve"> 部门公开表8</w:t>
      </w:r>
    </w:p>
    <w:tbl>
      <w:tblPr>
        <w:tblStyle w:val="6"/>
        <w:tblW w:w="9280" w:type="dxa"/>
        <w:tblInd w:w="0" w:type="dxa"/>
        <w:tblLayout w:type="fixed"/>
        <w:tblCellMar>
          <w:top w:w="0" w:type="dxa"/>
          <w:left w:w="108" w:type="dxa"/>
          <w:bottom w:w="0" w:type="dxa"/>
          <w:right w:w="108" w:type="dxa"/>
        </w:tblCellMar>
      </w:tblPr>
      <w:tblGrid>
        <w:gridCol w:w="491"/>
        <w:gridCol w:w="623"/>
        <w:gridCol w:w="3970"/>
        <w:gridCol w:w="236"/>
        <w:gridCol w:w="1094"/>
        <w:gridCol w:w="1390"/>
        <w:gridCol w:w="161"/>
        <w:gridCol w:w="1143"/>
        <w:gridCol w:w="172"/>
      </w:tblGrid>
      <w:tr>
        <w:tblPrEx>
          <w:tblCellMar>
            <w:top w:w="0" w:type="dxa"/>
            <w:left w:w="108" w:type="dxa"/>
            <w:bottom w:w="0" w:type="dxa"/>
            <w:right w:w="108" w:type="dxa"/>
          </w:tblCellMar>
        </w:tblPrEx>
        <w:trPr>
          <w:gridAfter w:val="1"/>
          <w:wAfter w:w="172" w:type="dxa"/>
          <w:trHeight w:val="553" w:hRule="atLeast"/>
        </w:trPr>
        <w:tc>
          <w:tcPr>
            <w:tcW w:w="9108"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工商业联合会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18"/>
                <w:szCs w:val="18"/>
              </w:rPr>
            </w:pPr>
          </w:p>
        </w:tc>
        <w:tc>
          <w:tcPr>
            <w:tcW w:w="623"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3970" w:type="dxa"/>
            <w:tcBorders>
              <w:top w:val="nil"/>
              <w:left w:val="nil"/>
              <w:bottom w:val="single" w:color="auto" w:sz="4" w:space="0"/>
              <w:right w:val="nil"/>
            </w:tcBorders>
            <w:noWrap/>
            <w:vAlign w:val="center"/>
          </w:tcPr>
          <w:p>
            <w:pPr>
              <w:widowControl/>
              <w:spacing w:line="560" w:lineRule="exact"/>
              <w:jc w:val="left"/>
              <w:rPr>
                <w:rFonts w:ascii="TimesNewRoman" w:hAnsi="TimesNewRoman" w:cs="TimesNewRoman"/>
                <w:kern w:val="0"/>
                <w:sz w:val="20"/>
              </w:rPr>
            </w:pPr>
          </w:p>
        </w:tc>
        <w:tc>
          <w:tcPr>
            <w:tcW w:w="236" w:type="dxa"/>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2645" w:type="dxa"/>
            <w:gridSpan w:val="3"/>
            <w:tcBorders>
              <w:top w:val="nil"/>
              <w:left w:val="nil"/>
              <w:bottom w:val="nil"/>
              <w:right w:val="nil"/>
            </w:tcBorders>
            <w:noWrap/>
            <w:vAlign w:val="center"/>
          </w:tcPr>
          <w:p>
            <w:pPr>
              <w:widowControl/>
              <w:spacing w:line="560" w:lineRule="exact"/>
              <w:jc w:val="left"/>
              <w:rPr>
                <w:rFonts w:ascii="TimesNewRoman" w:hAnsi="TimesNewRoman" w:cs="TimesNewRoman"/>
                <w:kern w:val="0"/>
                <w:sz w:val="20"/>
              </w:rPr>
            </w:pPr>
          </w:p>
        </w:tc>
        <w:tc>
          <w:tcPr>
            <w:tcW w:w="1315" w:type="dxa"/>
            <w:gridSpan w:val="2"/>
            <w:tcBorders>
              <w:top w:val="nil"/>
              <w:left w:val="nil"/>
              <w:bottom w:val="nil"/>
              <w:right w:val="nil"/>
            </w:tcBorders>
            <w:noWrap/>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kern w:val="0"/>
                <w:sz w:val="24"/>
              </w:rPr>
            </w:pPr>
            <w:r>
              <w:rPr>
                <w:rFonts w:ascii="TimesNewRoman" w:hAnsi="TimesNewRoman" w:cs="TimesNewRoman"/>
                <w:b/>
                <w:kern w:val="0"/>
                <w:sz w:val="22"/>
              </w:rPr>
              <w:t>功能分类科目</w:t>
            </w:r>
          </w:p>
        </w:tc>
        <w:tc>
          <w:tcPr>
            <w:tcW w:w="4024"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b/>
                <w:bCs/>
                <w:kern w:val="0"/>
                <w:sz w:val="22"/>
              </w:rPr>
              <w:t>国有资本经营预算拨款支出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科目编码</w:t>
            </w: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科目名称</w:t>
            </w: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基本支出</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项目支出</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bCs/>
                <w:kern w:val="0"/>
                <w:sz w:val="22"/>
              </w:rPr>
            </w:pPr>
          </w:p>
        </w:tc>
        <w:tc>
          <w:tcPr>
            <w:tcW w:w="133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440" w:firstLineChars="2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ind w:firstLine="880" w:firstLineChars="400"/>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397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560" w:lineRule="exact"/>
              <w:jc w:val="center"/>
              <w:rPr>
                <w:rFonts w:ascii="TimesNewRoman" w:hAnsi="TimesNewRoman" w:cs="TimesNewRoman"/>
                <w:kern w:val="0"/>
                <w:sz w:val="24"/>
              </w:rPr>
            </w:pPr>
          </w:p>
        </w:tc>
        <w:tc>
          <w:tcPr>
            <w:tcW w:w="3970" w:type="dxa"/>
            <w:tcBorders>
              <w:top w:val="nil"/>
              <w:left w:val="nil"/>
              <w:bottom w:val="single" w:color="auto" w:sz="4" w:space="0"/>
              <w:right w:val="single" w:color="auto" w:sz="4" w:space="0"/>
            </w:tcBorders>
            <w:noWrap/>
            <w:vAlign w:val="bottom"/>
          </w:tcPr>
          <w:p>
            <w:pPr>
              <w:widowControl/>
              <w:spacing w:line="560" w:lineRule="exact"/>
              <w:jc w:val="center"/>
              <w:rPr>
                <w:rFonts w:ascii="TimesNewRoman" w:hAnsi="TimesNewRoman" w:cs="TimesNewRoman"/>
                <w:kern w:val="0"/>
                <w:sz w:val="24"/>
              </w:rPr>
            </w:pP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560" w:lineRule="exact"/>
              <w:jc w:val="center"/>
              <w:rPr>
                <w:rFonts w:ascii="TimesNewRoman" w:hAnsi="TimesNewRoman" w:cs="TimesNewRoman"/>
                <w:kern w:val="0"/>
                <w:sz w:val="22"/>
              </w:rPr>
            </w:pPr>
            <w:r>
              <w:rPr>
                <w:rFonts w:ascii="TimesNewRoman" w:hAnsi="TimesNewRoman" w:cs="TimesNewRoman"/>
                <w:kern w:val="0"/>
                <w:sz w:val="22"/>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11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397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405" w:hRule="atLeast"/>
        </w:trPr>
        <w:tc>
          <w:tcPr>
            <w:tcW w:w="508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hint="eastAsia" w:ascii="TimesNewRoman" w:hAnsi="TimesNewRoman" w:cs="TimesNewRoman"/>
                <w:b/>
                <w:bCs/>
                <w:kern w:val="0"/>
                <w:sz w:val="22"/>
              </w:rPr>
              <w:t>合</w:t>
            </w:r>
            <w:r>
              <w:rPr>
                <w:rFonts w:ascii="TimesNewRoman" w:hAnsi="TimesNewRoman" w:cs="TimesNewRoman"/>
                <w:b/>
                <w:bCs/>
                <w:kern w:val="0"/>
                <w:sz w:val="22"/>
              </w:rPr>
              <w:t xml:space="preserve"> 计</w:t>
            </w:r>
          </w:p>
        </w:tc>
        <w:tc>
          <w:tcPr>
            <w:tcW w:w="1330"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90" w:type="dxa"/>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c>
          <w:tcPr>
            <w:tcW w:w="1304"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4"/>
              </w:rPr>
            </w:pPr>
            <w:r>
              <w:rPr>
                <w:rFonts w:ascii="TimesNewRoman" w:hAnsi="TimesNewRoman" w:cs="TimesNewRoman"/>
                <w:kern w:val="0"/>
                <w:sz w:val="24"/>
              </w:rPr>
              <w:t>　</w:t>
            </w:r>
          </w:p>
        </w:tc>
      </w:tr>
      <w:tr>
        <w:tblPrEx>
          <w:tblCellMar>
            <w:top w:w="0" w:type="dxa"/>
            <w:left w:w="108" w:type="dxa"/>
            <w:bottom w:w="0" w:type="dxa"/>
            <w:right w:w="108" w:type="dxa"/>
          </w:tblCellMar>
        </w:tblPrEx>
        <w:trPr>
          <w:gridAfter w:val="1"/>
          <w:wAfter w:w="172" w:type="dxa"/>
          <w:trHeight w:val="795" w:hRule="atLeast"/>
        </w:trPr>
        <w:tc>
          <w:tcPr>
            <w:tcW w:w="9108" w:type="dxa"/>
            <w:gridSpan w:val="8"/>
            <w:tcBorders>
              <w:top w:val="single" w:color="auto" w:sz="4" w:space="0"/>
              <w:left w:val="nil"/>
              <w:bottom w:val="nil"/>
              <w:right w:val="nil"/>
            </w:tcBorders>
            <w:noWrap/>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说明：</w:t>
            </w:r>
            <w:r>
              <w:rPr>
                <w:rFonts w:hint="eastAsia" w:ascii="TimesNewRoman" w:hAnsi="TimesNewRoman" w:cs="TimesNewRoman"/>
                <w:kern w:val="0"/>
                <w:sz w:val="24"/>
              </w:rPr>
              <w:t>宿松县</w:t>
            </w:r>
            <w:r>
              <w:rPr>
                <w:rFonts w:hint="eastAsia" w:ascii="TimesNewRoman" w:hAnsi="TimesNewRoman" w:cs="TimesNewRoman"/>
                <w:kern w:val="0"/>
                <w:sz w:val="24"/>
                <w:lang w:eastAsia="zh-CN"/>
              </w:rPr>
              <w:t>工商业联合会</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both"/>
        <w:rPr>
          <w:rFonts w:ascii="TimesNewRoman" w:hAnsi="TimesNewRoman" w:cs="TimesNewRoman"/>
          <w:kern w:val="0"/>
          <w:sz w:val="20"/>
        </w:rPr>
        <w:sectPr>
          <w:pgSz w:w="11906" w:h="16838"/>
          <w:pgMar w:top="1440" w:right="1797" w:bottom="1440" w:left="1797" w:header="851" w:footer="992" w:gutter="0"/>
          <w:pgNumType w:fmt="numberInDash"/>
          <w:cols w:space="720" w:num="1"/>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部门公开表9</w:t>
      </w:r>
    </w:p>
    <w:p>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宿松县</w:t>
      </w:r>
      <w:r>
        <w:rPr>
          <w:rFonts w:hint="eastAsia" w:ascii="TimesNewRoman" w:hAnsi="TimesNewRoman" w:eastAsia="华文中宋" w:cs="TimesNewRoman"/>
          <w:b/>
          <w:bCs/>
          <w:kern w:val="0"/>
          <w:sz w:val="30"/>
          <w:szCs w:val="30"/>
          <w:lang w:eastAsia="zh-CN"/>
        </w:rPr>
        <w:t>工商业联合会</w:t>
      </w:r>
      <w:r>
        <w:rPr>
          <w:rFonts w:ascii="TimesNewRoman" w:hAnsi="TimesNewRoman" w:eastAsia="华文中宋" w:cs="TimesNewRoman"/>
          <w:b/>
          <w:bCs/>
          <w:kern w:val="0"/>
          <w:sz w:val="30"/>
          <w:szCs w:val="30"/>
        </w:rPr>
        <w:t>202</w:t>
      </w:r>
      <w:r>
        <w:rPr>
          <w:rFonts w:hint="eastAsia" w:ascii="TimesNewRoman" w:hAnsi="TimesNewRoman" w:eastAsia="华文中宋" w:cs="TimesNewRoman"/>
          <w:b/>
          <w:bCs/>
          <w:kern w:val="0"/>
          <w:sz w:val="30"/>
          <w:szCs w:val="30"/>
        </w:rPr>
        <w:t>3</w:t>
      </w:r>
      <w:r>
        <w:rPr>
          <w:rFonts w:ascii="TimesNewRoman" w:hAnsi="TimesNewRoman" w:eastAsia="华文中宋" w:cs="TimesNewRoman"/>
          <w:b/>
          <w:bCs/>
          <w:kern w:val="0"/>
          <w:sz w:val="30"/>
          <w:szCs w:val="30"/>
        </w:rPr>
        <w:t>年项目支出表</w:t>
      </w:r>
    </w:p>
    <w:p>
      <w:pPr>
        <w:spacing w:line="560" w:lineRule="exact"/>
        <w:ind w:left="7844" w:hanging="7807"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6"/>
        <w:tblW w:w="14468" w:type="dxa"/>
        <w:tblInd w:w="-328" w:type="dxa"/>
        <w:tblLayout w:type="fixed"/>
        <w:tblCellMar>
          <w:top w:w="0" w:type="dxa"/>
          <w:left w:w="108" w:type="dxa"/>
          <w:bottom w:w="0" w:type="dxa"/>
          <w:right w:w="108" w:type="dxa"/>
        </w:tblCellMar>
      </w:tblPr>
      <w:tblGrid>
        <w:gridCol w:w="1332"/>
        <w:gridCol w:w="1636"/>
        <w:gridCol w:w="2152"/>
        <w:gridCol w:w="843"/>
        <w:gridCol w:w="900"/>
        <w:gridCol w:w="1050"/>
        <w:gridCol w:w="995"/>
        <w:gridCol w:w="1220"/>
        <w:gridCol w:w="1220"/>
        <w:gridCol w:w="1220"/>
        <w:gridCol w:w="1020"/>
        <w:gridCol w:w="880"/>
      </w:tblGrid>
      <w:tr>
        <w:tblPrEx>
          <w:tblCellMar>
            <w:top w:w="0" w:type="dxa"/>
            <w:left w:w="108" w:type="dxa"/>
            <w:bottom w:w="0" w:type="dxa"/>
            <w:right w:w="108" w:type="dxa"/>
          </w:tblCellMar>
        </w:tblPrEx>
        <w:trPr>
          <w:trHeight w:val="353" w:hRule="atLeast"/>
        </w:trPr>
        <w:tc>
          <w:tcPr>
            <w:tcW w:w="133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类型</w:t>
            </w:r>
          </w:p>
        </w:tc>
        <w:tc>
          <w:tcPr>
            <w:tcW w:w="1636" w:type="dxa"/>
            <w:vMerge w:val="restart"/>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项目名称</w:t>
            </w:r>
          </w:p>
        </w:tc>
        <w:tc>
          <w:tcPr>
            <w:tcW w:w="215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项目单位</w:t>
            </w:r>
          </w:p>
        </w:tc>
        <w:tc>
          <w:tcPr>
            <w:tcW w:w="843"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合计</w:t>
            </w:r>
          </w:p>
        </w:tc>
        <w:tc>
          <w:tcPr>
            <w:tcW w:w="2945"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本年财政拨款</w:t>
            </w:r>
          </w:p>
        </w:tc>
        <w:tc>
          <w:tcPr>
            <w:tcW w:w="3660" w:type="dxa"/>
            <w:gridSpan w:val="3"/>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TimesNewRoman" w:hAnsi="TimesNewRoman" w:cs="TimesNewRoman"/>
                <w:b/>
                <w:bCs/>
                <w:kern w:val="0"/>
                <w:sz w:val="22"/>
              </w:rPr>
            </w:pPr>
            <w:r>
              <w:rPr>
                <w:rFonts w:ascii="TimesNewRoman" w:hAnsi="TimesNewRoman" w:cs="TimesNewRoman"/>
                <w:b/>
                <w:bCs/>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NewRoman" w:hAnsi="TimesNewRoman" w:cs="TimesNewRoman"/>
                <w:b/>
                <w:bCs/>
                <w:kern w:val="0"/>
                <w:sz w:val="22"/>
              </w:rPr>
            </w:pPr>
            <w:r>
              <w:rPr>
                <w:rFonts w:ascii="TimesNewRoman" w:hAnsi="TimesNewRoman" w:cs="TimesNewRoman"/>
                <w:b/>
                <w:bCs/>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NewRoman" w:hAnsi="TimesNewRoman" w:cs="TimesNewRoman"/>
                <w:b/>
                <w:bCs/>
                <w:kern w:val="0"/>
                <w:sz w:val="22"/>
              </w:rPr>
            </w:pPr>
            <w:r>
              <w:rPr>
                <w:rFonts w:ascii="TimesNewRoman" w:hAnsi="TimesNewRoman" w:cs="TimesNewRoman"/>
                <w:b/>
                <w:bCs/>
                <w:kern w:val="0"/>
                <w:sz w:val="22"/>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NewRoman" w:hAnsi="TimesNewRoman" w:cs="TimesNewRoman"/>
                <w:b/>
                <w:bCs/>
                <w:kern w:val="0"/>
                <w:sz w:val="22"/>
              </w:rPr>
            </w:pPr>
            <w:r>
              <w:rPr>
                <w:rFonts w:ascii="TimesNewRoman" w:hAnsi="TimesNewRoman" w:cs="TimesNewRoman"/>
                <w:b/>
                <w:bCs/>
                <w:kern w:val="0"/>
                <w:sz w:val="22"/>
              </w:rPr>
              <w:t>资金</w:t>
            </w:r>
          </w:p>
        </w:tc>
      </w:tr>
      <w:tr>
        <w:tblPrEx>
          <w:tblCellMar>
            <w:top w:w="0" w:type="dxa"/>
            <w:left w:w="108" w:type="dxa"/>
            <w:bottom w:w="0" w:type="dxa"/>
            <w:right w:w="108" w:type="dxa"/>
          </w:tblCellMar>
        </w:tblPrEx>
        <w:trPr>
          <w:trHeight w:val="629" w:hRule="atLeast"/>
        </w:trPr>
        <w:tc>
          <w:tcPr>
            <w:tcW w:w="133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1636" w:type="dxa"/>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215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43"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900"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一般公共预算</w:t>
            </w:r>
          </w:p>
        </w:tc>
        <w:tc>
          <w:tcPr>
            <w:tcW w:w="1050"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政府性</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基金预算</w:t>
            </w:r>
          </w:p>
        </w:tc>
        <w:tc>
          <w:tcPr>
            <w:tcW w:w="995"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国有资本经营预算</w:t>
            </w:r>
          </w:p>
        </w:tc>
        <w:tc>
          <w:tcPr>
            <w:tcW w:w="1220"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一般公共预算</w:t>
            </w:r>
          </w:p>
        </w:tc>
        <w:tc>
          <w:tcPr>
            <w:tcW w:w="1220"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政府性</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基金预算</w:t>
            </w:r>
          </w:p>
        </w:tc>
        <w:tc>
          <w:tcPr>
            <w:tcW w:w="1220" w:type="dxa"/>
            <w:tcBorders>
              <w:top w:val="nil"/>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TimesNewRoman" w:hAnsi="TimesNewRoman" w:cs="TimesNewRoman"/>
                <w:b/>
                <w:bCs/>
                <w:kern w:val="0"/>
                <w:sz w:val="22"/>
              </w:rPr>
            </w:pPr>
            <w:r>
              <w:rPr>
                <w:rFonts w:ascii="TimesNewRoman" w:hAnsi="TimesNewRoman" w:cs="TimesNewRoman"/>
                <w:b/>
                <w:bCs/>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left"/>
              <w:rPr>
                <w:rFonts w:ascii="TimesNewRoman" w:hAnsi="TimesNewRoman" w:cs="TimesNewRoman"/>
                <w:b/>
                <w:bCs/>
                <w:kern w:val="0"/>
                <w:sz w:val="22"/>
              </w:rPr>
            </w:pP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商调会专项工作经费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9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05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95"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全县28个民营企业调查点评营商环境工作经费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7.00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b/>
                <w:bCs/>
                <w:kern w:val="0"/>
                <w:sz w:val="22"/>
              </w:rPr>
            </w:pPr>
            <w:r>
              <w:rPr>
                <w:rFonts w:hint="eastAsia" w:ascii="宋体" w:hAnsi="宋体" w:eastAsia="宋体" w:cs="宋体"/>
                <w:i w:val="0"/>
                <w:iCs w:val="0"/>
                <w:color w:val="000000"/>
                <w:kern w:val="0"/>
                <w:sz w:val="20"/>
                <w:szCs w:val="20"/>
                <w:u w:val="none"/>
                <w:lang w:val="en-US" w:eastAsia="zh-CN" w:bidi="ar"/>
              </w:rPr>
              <w:t>7.00</w:t>
            </w:r>
          </w:p>
        </w:tc>
        <w:tc>
          <w:tcPr>
            <w:tcW w:w="105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办公经费和考察调研等专项经费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14.00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14.00</w:t>
            </w:r>
          </w:p>
        </w:tc>
        <w:tc>
          <w:tcPr>
            <w:tcW w:w="10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995"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商会党建经费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3.00</w:t>
            </w:r>
          </w:p>
        </w:tc>
        <w:tc>
          <w:tcPr>
            <w:tcW w:w="105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“万企兴万村”调度工作经费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10.00</w:t>
            </w:r>
          </w:p>
        </w:tc>
        <w:tc>
          <w:tcPr>
            <w:tcW w:w="105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9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p>
        </w:tc>
      </w:tr>
      <w:tr>
        <w:tblPrEx>
          <w:tblCellMar>
            <w:top w:w="0" w:type="dxa"/>
            <w:left w:w="108" w:type="dxa"/>
            <w:bottom w:w="0" w:type="dxa"/>
            <w:right w:w="108" w:type="dxa"/>
          </w:tblCellMar>
        </w:tblPrEx>
        <w:trPr>
          <w:trHeight w:val="360" w:hRule="atLeast"/>
        </w:trPr>
        <w:tc>
          <w:tcPr>
            <w:tcW w:w="133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特定目标类</w:t>
            </w:r>
          </w:p>
        </w:tc>
        <w:tc>
          <w:tcPr>
            <w:tcW w:w="163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异地商会组建、调研、指导工作经费</w:t>
            </w:r>
          </w:p>
        </w:tc>
        <w:tc>
          <w:tcPr>
            <w:tcW w:w="215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宿松县工商业联合会</w:t>
            </w:r>
          </w:p>
        </w:tc>
        <w:tc>
          <w:tcPr>
            <w:tcW w:w="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NewRoman" w:hAnsi="TimesNewRoman" w:cs="TimesNewRoman"/>
                <w:kern w:val="0"/>
                <w:sz w:val="22"/>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9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2"/>
              </w:rPr>
            </w:pPr>
            <w:r>
              <w:rPr>
                <w:rFonts w:ascii="TimesNewRoman" w:hAnsi="TimesNewRoman" w:cs="TimesNewRoman"/>
                <w:kern w:val="0"/>
                <w:sz w:val="22"/>
              </w:rPr>
              <w:t>　</w:t>
            </w:r>
          </w:p>
        </w:tc>
      </w:tr>
      <w:tr>
        <w:tblPrEx>
          <w:tblCellMar>
            <w:top w:w="0" w:type="dxa"/>
            <w:left w:w="108" w:type="dxa"/>
            <w:bottom w:w="0" w:type="dxa"/>
            <w:right w:w="108" w:type="dxa"/>
          </w:tblCellMar>
        </w:tblPrEx>
        <w:trPr>
          <w:trHeight w:val="360" w:hRule="atLeast"/>
        </w:trPr>
        <w:tc>
          <w:tcPr>
            <w:tcW w:w="5120" w:type="dxa"/>
            <w:gridSpan w:val="3"/>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b/>
                <w:bCs/>
                <w:kern w:val="0"/>
                <w:sz w:val="22"/>
              </w:rPr>
            </w:pPr>
            <w:r>
              <w:rPr>
                <w:rFonts w:hint="eastAsia" w:ascii="TimesNewRoman" w:hAnsi="TimesNewRoman" w:cs="TimesNewRoman"/>
                <w:b/>
                <w:bCs/>
                <w:kern w:val="0"/>
                <w:sz w:val="22"/>
              </w:rPr>
              <w:t>合</w:t>
            </w:r>
            <w:r>
              <w:rPr>
                <w:rFonts w:ascii="TimesNewRoman" w:hAnsi="TimesNewRoman" w:cs="TimesNewRoman"/>
                <w:b/>
                <w:bCs/>
                <w:kern w:val="0"/>
                <w:sz w:val="22"/>
              </w:rPr>
              <w:t>计　</w:t>
            </w:r>
          </w:p>
        </w:tc>
        <w:tc>
          <w:tcPr>
            <w:tcW w:w="843" w:type="dxa"/>
            <w:tcBorders>
              <w:top w:val="nil"/>
              <w:left w:val="nil"/>
              <w:bottom w:val="single" w:color="auto" w:sz="4" w:space="0"/>
              <w:right w:val="single" w:color="auto" w:sz="4" w:space="0"/>
            </w:tcBorders>
            <w:noWrap/>
            <w:vAlign w:val="center"/>
          </w:tcPr>
          <w:p>
            <w:pPr>
              <w:widowControl/>
              <w:spacing w:line="560" w:lineRule="exact"/>
              <w:jc w:val="center"/>
              <w:rPr>
                <w:rFonts w:hint="default" w:ascii="TimesNewRoman" w:hAnsi="TimesNewRoman" w:cs="TimesNewRoman"/>
                <w:b/>
                <w:bCs/>
                <w:kern w:val="0"/>
                <w:sz w:val="22"/>
                <w:lang w:val="en-US"/>
              </w:rPr>
            </w:pPr>
            <w:r>
              <w:rPr>
                <w:rFonts w:hint="eastAsia" w:ascii="TimesNewRoman" w:hAnsi="TimesNewRoman" w:cs="TimesNewRoman"/>
                <w:b/>
                <w:bCs/>
                <w:kern w:val="0"/>
                <w:sz w:val="22"/>
                <w:lang w:val="en-US" w:eastAsia="zh-CN"/>
              </w:rPr>
              <w:t>49.00</w:t>
            </w:r>
          </w:p>
        </w:tc>
        <w:tc>
          <w:tcPr>
            <w:tcW w:w="900" w:type="dxa"/>
            <w:tcBorders>
              <w:top w:val="nil"/>
              <w:left w:val="nil"/>
              <w:bottom w:val="single" w:color="auto" w:sz="4" w:space="0"/>
              <w:right w:val="single" w:color="auto" w:sz="4" w:space="0"/>
            </w:tcBorders>
            <w:noWrap/>
            <w:vAlign w:val="center"/>
          </w:tcPr>
          <w:p>
            <w:pPr>
              <w:widowControl/>
              <w:spacing w:line="560" w:lineRule="exact"/>
              <w:jc w:val="center"/>
              <w:rPr>
                <w:rFonts w:hint="default" w:ascii="TimesNewRoman" w:hAnsi="TimesNewRoman" w:cs="TimesNewRoman"/>
                <w:b/>
                <w:bCs/>
                <w:kern w:val="0"/>
                <w:sz w:val="22"/>
                <w:lang w:val="en-US"/>
              </w:rPr>
            </w:pPr>
            <w:r>
              <w:rPr>
                <w:rFonts w:hint="eastAsia" w:ascii="TimesNewRoman" w:hAnsi="TimesNewRoman" w:cs="TimesNewRoman"/>
                <w:b/>
                <w:bCs/>
                <w:kern w:val="0"/>
                <w:sz w:val="22"/>
                <w:lang w:val="en-US" w:eastAsia="zh-CN"/>
              </w:rPr>
              <w:t>49.00</w:t>
            </w:r>
          </w:p>
        </w:tc>
        <w:tc>
          <w:tcPr>
            <w:tcW w:w="105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995"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2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10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c>
          <w:tcPr>
            <w:tcW w:w="88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b/>
                <w:bCs/>
                <w:kern w:val="0"/>
                <w:sz w:val="22"/>
              </w:rPr>
            </w:pPr>
            <w:r>
              <w:rPr>
                <w:rFonts w:ascii="TimesNewRoman" w:hAnsi="TimesNewRoman" w:cs="TimesNewRoman"/>
                <w:b/>
                <w:bCs/>
                <w:kern w:val="0"/>
                <w:sz w:val="22"/>
              </w:rPr>
              <w:t>　</w:t>
            </w:r>
          </w:p>
        </w:tc>
      </w:tr>
    </w:tbl>
    <w:p>
      <w:pPr>
        <w:spacing w:line="560" w:lineRule="exact"/>
        <w:rPr>
          <w:rFonts w:ascii="TimesNewRoman" w:hAnsi="TimesNewRoman" w:cs="TimesNewRoman"/>
          <w:kern w:val="0"/>
          <w:sz w:val="22"/>
        </w:rPr>
        <w:sectPr>
          <w:pgSz w:w="16838" w:h="11906" w:orient="landscape"/>
          <w:pgMar w:top="1797" w:right="1440" w:bottom="1797" w:left="1440" w:header="850" w:footer="992" w:gutter="0"/>
          <w:pgNumType w:fmt="numberInDash"/>
          <w:cols w:space="720" w:num="1"/>
          <w:docGrid w:type="linesAndChars" w:linePitch="437" w:charSpace="2457"/>
        </w:sectPr>
      </w:pPr>
    </w:p>
    <w:p>
      <w:pPr>
        <w:pStyle w:val="5"/>
        <w:wordWrap w:val="0"/>
        <w:adjustRightInd w:val="0"/>
        <w:snapToGrid w:val="0"/>
        <w:spacing w:afterLines="50" w:line="560" w:lineRule="exact"/>
        <w:jc w:val="right"/>
        <w:rPr>
          <w:rFonts w:ascii="TimesNewRoman" w:hAnsi="TimesNewRoman" w:cs="TimesNewRoman"/>
          <w:sz w:val="20"/>
          <w:szCs w:val="20"/>
        </w:rPr>
      </w:pPr>
      <w:r>
        <w:rPr>
          <w:rFonts w:ascii="TimesNewRoman" w:hAnsi="TimesNewRoman" w:cs="TimesNewRoman"/>
          <w:sz w:val="20"/>
          <w:szCs w:val="20"/>
        </w:rPr>
        <w:t xml:space="preserve">    部门公开表10</w:t>
      </w:r>
    </w:p>
    <w:tbl>
      <w:tblPr>
        <w:tblStyle w:val="6"/>
        <w:tblW w:w="8879" w:type="dxa"/>
        <w:jc w:val="center"/>
        <w:tblLayout w:type="fixed"/>
        <w:tblCellMar>
          <w:top w:w="0" w:type="dxa"/>
          <w:left w:w="108" w:type="dxa"/>
          <w:bottom w:w="0" w:type="dxa"/>
          <w:right w:w="108" w:type="dxa"/>
        </w:tblCellMar>
      </w:tblPr>
      <w:tblGrid>
        <w:gridCol w:w="1200"/>
        <w:gridCol w:w="1150"/>
        <w:gridCol w:w="900"/>
        <w:gridCol w:w="1034"/>
        <w:gridCol w:w="1147"/>
        <w:gridCol w:w="1140"/>
        <w:gridCol w:w="1120"/>
        <w:gridCol w:w="1188"/>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工商业联合会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年政府采购支出表</w:t>
            </w:r>
          </w:p>
          <w:p>
            <w:pPr>
              <w:widowControl/>
              <w:spacing w:line="56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15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90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034"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147"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14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120"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188" w:type="dxa"/>
            <w:tcBorders>
              <w:top w:val="single" w:color="auto" w:sz="4" w:space="0"/>
              <w:left w:val="nil"/>
              <w:bottom w:val="nil"/>
              <w:right w:val="single" w:color="auto" w:sz="4" w:space="0"/>
            </w:tcBorders>
            <w:noWrap/>
            <w:vAlign w:val="center"/>
          </w:tcPr>
          <w:p>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宿松县工商业联合会_综合定额（行政）</w:t>
            </w:r>
          </w:p>
        </w:tc>
        <w:tc>
          <w:tcPr>
            <w:tcW w:w="11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NewRoman" w:hAnsi="TimesNewRoman" w:cs="TimesNewRoman"/>
                <w:color w:val="0000FF"/>
                <w:kern w:val="0"/>
                <w:sz w:val="20"/>
              </w:rPr>
            </w:pPr>
            <w:r>
              <w:rPr>
                <w:rFonts w:hint="eastAsia" w:ascii="宋体" w:hAnsi="宋体" w:eastAsia="宋体" w:cs="宋体"/>
                <w:i w:val="0"/>
                <w:iCs w:val="0"/>
                <w:color w:val="auto"/>
                <w:kern w:val="0"/>
                <w:sz w:val="20"/>
                <w:szCs w:val="20"/>
                <w:u w:val="none"/>
                <w:lang w:val="en-US" w:eastAsia="zh-CN" w:bidi="ar"/>
              </w:rPr>
              <w:t>计算机</w:t>
            </w:r>
          </w:p>
        </w:tc>
        <w:tc>
          <w:tcPr>
            <w:tcW w:w="9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1.00</w:t>
            </w:r>
          </w:p>
        </w:tc>
        <w:tc>
          <w:tcPr>
            <w:tcW w:w="10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1.00</w:t>
            </w:r>
          </w:p>
        </w:tc>
        <w:tc>
          <w:tcPr>
            <w:tcW w:w="1147"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single" w:color="auto" w:sz="4" w:space="0"/>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1150" w:type="dxa"/>
            <w:tcBorders>
              <w:top w:val="nil"/>
              <w:left w:val="nil"/>
              <w:bottom w:val="single" w:color="auto" w:sz="4" w:space="0"/>
              <w:right w:val="single" w:color="auto" w:sz="4" w:space="0"/>
            </w:tcBorders>
            <w:noWrap/>
            <w:vAlign w:val="center"/>
          </w:tcPr>
          <w:p>
            <w:pPr>
              <w:widowControl/>
              <w:spacing w:line="560" w:lineRule="exact"/>
              <w:jc w:val="left"/>
              <w:rPr>
                <w:rFonts w:ascii="TimesNewRoman" w:hAnsi="TimesNewRoman" w:cs="TimesNewRoman"/>
                <w:kern w:val="0"/>
                <w:sz w:val="20"/>
              </w:rPr>
            </w:pPr>
            <w:r>
              <w:rPr>
                <w:rFonts w:ascii="TimesNewRoman" w:hAnsi="TimesNewRoman" w:cs="TimesNewRoman"/>
                <w:kern w:val="0"/>
                <w:sz w:val="20"/>
              </w:rPr>
              <w:t>　</w:t>
            </w:r>
          </w:p>
        </w:tc>
        <w:tc>
          <w:tcPr>
            <w:tcW w:w="90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034"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r>
        <w:tblPrEx>
          <w:tblCellMar>
            <w:top w:w="0" w:type="dxa"/>
            <w:left w:w="108" w:type="dxa"/>
            <w:bottom w:w="0" w:type="dxa"/>
            <w:right w:w="108" w:type="dxa"/>
          </w:tblCellMar>
        </w:tblPrEx>
        <w:trPr>
          <w:trHeight w:val="540" w:hRule="atLeast"/>
          <w:jc w:val="center"/>
        </w:trPr>
        <w:tc>
          <w:tcPr>
            <w:tcW w:w="2350" w:type="dxa"/>
            <w:gridSpan w:val="2"/>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TimesNewRoman" w:hAnsi="TimesNewRoman" w:cs="TimesNewRoman"/>
                <w:kern w:val="0"/>
                <w:sz w:val="20"/>
              </w:rPr>
            </w:pPr>
            <w:r>
              <w:rPr>
                <w:rFonts w:hint="eastAsia" w:ascii="TimesNewRoman" w:hAnsi="TimesNewRoman" w:cs="TimesNewRoman"/>
                <w:b/>
                <w:bCs/>
                <w:kern w:val="0"/>
                <w:sz w:val="22"/>
              </w:rPr>
              <w:t>合</w:t>
            </w:r>
            <w:r>
              <w:rPr>
                <w:rFonts w:ascii="TimesNewRoman" w:hAnsi="TimesNewRoman" w:cs="TimesNewRoman"/>
                <w:b/>
                <w:sz w:val="20"/>
              </w:rPr>
              <w:t xml:space="preserve"> 计</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1.00</w:t>
            </w:r>
          </w:p>
        </w:tc>
        <w:tc>
          <w:tcPr>
            <w:tcW w:w="10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1.00</w:t>
            </w:r>
          </w:p>
        </w:tc>
        <w:tc>
          <w:tcPr>
            <w:tcW w:w="1147"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4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20"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c>
          <w:tcPr>
            <w:tcW w:w="1188" w:type="dxa"/>
            <w:tcBorders>
              <w:top w:val="nil"/>
              <w:left w:val="nil"/>
              <w:bottom w:val="single" w:color="auto" w:sz="4" w:space="0"/>
              <w:right w:val="single" w:color="auto" w:sz="4" w:space="0"/>
            </w:tcBorders>
            <w:noWrap/>
            <w:vAlign w:val="center"/>
          </w:tcPr>
          <w:p>
            <w:pPr>
              <w:widowControl/>
              <w:spacing w:line="56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pStyle w:val="5"/>
        <w:wordWrap w:val="0"/>
        <w:adjustRightInd w:val="0"/>
        <w:snapToGrid w:val="0"/>
        <w:spacing w:line="560" w:lineRule="exact"/>
        <w:jc w:val="right"/>
        <w:rPr>
          <w:rFonts w:ascii="TimesNewRoman" w:hAnsi="TimesNewRoman" w:cs="TimesNewRoman"/>
          <w:sz w:val="20"/>
          <w:szCs w:val="20"/>
        </w:rPr>
        <w:sectPr>
          <w:pgSz w:w="11906" w:h="16838"/>
          <w:pgMar w:top="1440" w:right="1797" w:bottom="1440" w:left="1797" w:header="850" w:footer="992" w:gutter="0"/>
          <w:pgNumType w:fmt="numberInDash"/>
          <w:cols w:space="720" w:num="1"/>
          <w:docGrid w:type="linesAndChars" w:linePitch="437" w:charSpace="2555"/>
        </w:sectPr>
      </w:pPr>
    </w:p>
    <w:p>
      <w:pPr>
        <w:pStyle w:val="5"/>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sz w:val="20"/>
          <w:szCs w:val="20"/>
        </w:rPr>
        <w:t>部门公开表11</w:t>
      </w:r>
    </w:p>
    <w:tbl>
      <w:tblPr>
        <w:tblStyle w:val="6"/>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noWrap/>
            <w:vAlign w:val="center"/>
          </w:tcPr>
          <w:p>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宿松县</w:t>
            </w:r>
            <w:r>
              <w:rPr>
                <w:rFonts w:hint="eastAsia" w:ascii="TimesNewRoman" w:hAnsi="TimesNewRoman" w:eastAsia="华文中宋" w:cs="TimesNewRoman"/>
                <w:b/>
                <w:bCs/>
                <w:kern w:val="0"/>
                <w:szCs w:val="32"/>
                <w:lang w:eastAsia="zh-CN"/>
              </w:rPr>
              <w:t>工商业联合会</w:t>
            </w:r>
            <w:r>
              <w:rPr>
                <w:rFonts w:ascii="TimesNewRoman" w:hAnsi="TimesNewRoman" w:eastAsia="华文中宋" w:cs="TimesNewRoman"/>
                <w:b/>
                <w:bCs/>
                <w:kern w:val="0"/>
                <w:szCs w:val="32"/>
              </w:rPr>
              <w:t>202</w:t>
            </w:r>
            <w:r>
              <w:rPr>
                <w:rFonts w:hint="eastAsia" w:ascii="TimesNewRoman" w:hAnsi="TimesNewRoman" w:eastAsia="华文中宋" w:cs="TimesNewRoman"/>
                <w:b/>
                <w:bCs/>
                <w:kern w:val="0"/>
                <w:szCs w:val="32"/>
              </w:rPr>
              <w:t>3</w:t>
            </w:r>
            <w:r>
              <w:rPr>
                <w:rFonts w:ascii="TimesNewRoman" w:hAnsi="TimesNewRoman" w:eastAsia="华文中宋" w:cs="TimesNewRoman"/>
                <w:b/>
                <w:bCs/>
                <w:kern w:val="0"/>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项目名称</w:t>
            </w:r>
          </w:p>
        </w:tc>
        <w:tc>
          <w:tcPr>
            <w:tcW w:w="195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一级目录名称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二级目录名称</w:t>
            </w:r>
          </w:p>
        </w:tc>
        <w:tc>
          <w:tcPr>
            <w:tcW w:w="193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三级目录名称</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93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Fonts w:ascii="TimesNewRoman" w:hAnsi="TimesNewRoman" w:cs="TimesNewRoman"/>
                <w:sz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center"/>
          </w:tcPr>
          <w:p>
            <w:pPr>
              <w:spacing w:line="560" w:lineRule="exact"/>
              <w:jc w:val="right"/>
              <w:rPr>
                <w:rFonts w:ascii="TimesNewRoman" w:hAnsi="TimesNewRoman" w:cs="TimesNewRoman"/>
                <w:sz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ascii="TimesNewRoman" w:hAnsi="TimesNewRoman" w:cs="TimesNewRoman"/>
                <w:b/>
                <w:sz w:val="20"/>
              </w:rPr>
            </w:pPr>
            <w:r>
              <w:rPr>
                <w:rFonts w:ascii="TimesNewRoman" w:hAnsi="TimesNewRoman" w:cs="TimesNewRoman"/>
                <w:b/>
                <w:sz w:val="20"/>
              </w:rPr>
              <w:t>合计</w:t>
            </w:r>
          </w:p>
        </w:tc>
        <w:tc>
          <w:tcPr>
            <w:tcW w:w="195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noWrap/>
            <w:vAlign w:val="bottom"/>
          </w:tcPr>
          <w:p>
            <w:pPr>
              <w:spacing w:line="56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说明</w:t>
      </w:r>
      <w:r>
        <w:rPr>
          <w:rFonts w:hint="eastAsia" w:ascii="TimesNewRoman" w:hAnsi="TimesNewRoman" w:cs="TimesNewRoman"/>
          <w:kern w:val="0"/>
          <w:sz w:val="22"/>
          <w:lang w:eastAsia="zh-CN"/>
        </w:rPr>
        <w:t>：</w:t>
      </w:r>
      <w:r>
        <w:rPr>
          <w:rFonts w:hint="eastAsia" w:ascii="TimesNewRoman" w:hAnsi="TimesNewRoman" w:cs="TimesNewRoman"/>
          <w:kern w:val="0"/>
          <w:sz w:val="22"/>
        </w:rPr>
        <w:t>宿松县</w:t>
      </w:r>
      <w:r>
        <w:rPr>
          <w:rFonts w:hint="eastAsia" w:ascii="TimesNewRoman" w:hAnsi="TimesNewRoman" w:cs="TimesNewRoman"/>
          <w:kern w:val="0"/>
          <w:sz w:val="22"/>
          <w:lang w:eastAsia="zh-CN"/>
        </w:rPr>
        <w:t>工商业联合会</w:t>
      </w:r>
      <w:r>
        <w:rPr>
          <w:rFonts w:ascii="TimesNewRoman" w:hAnsi="TimesNewRoman" w:cs="TimesNewRoman"/>
          <w:kern w:val="0"/>
          <w:sz w:val="22"/>
        </w:rPr>
        <w:t>没有安排政府购买服务支出，故本表无数据。</w:t>
      </w:r>
    </w:p>
    <w:p>
      <w:pPr>
        <w:pStyle w:val="5"/>
        <w:adjustRightInd w:val="0"/>
        <w:snapToGrid w:val="0"/>
        <w:spacing w:line="560" w:lineRule="exact"/>
        <w:rPr>
          <w:rFonts w:ascii="TimesNewRoman" w:hAnsi="TimesNewRoman" w:cs="TimesNewRoman"/>
        </w:rPr>
      </w:pPr>
    </w:p>
    <w:p>
      <w:pPr>
        <w:pStyle w:val="5"/>
        <w:adjustRightInd w:val="0"/>
        <w:snapToGrid w:val="0"/>
        <w:spacing w:line="560" w:lineRule="exact"/>
        <w:ind w:firstLine="744" w:firstLineChars="200"/>
        <w:rPr>
          <w:rFonts w:ascii="TimesNewRoman" w:hAnsi="TimesNewRoman" w:eastAsia="黑体" w:cs="TimesNewRoman"/>
          <w:bCs/>
          <w:sz w:val="36"/>
          <w:szCs w:val="36"/>
        </w:rPr>
        <w:sectPr>
          <w:pgSz w:w="16838" w:h="11906" w:orient="landscape"/>
          <w:pgMar w:top="1797" w:right="1440" w:bottom="1797" w:left="1440" w:header="850" w:footer="992" w:gutter="0"/>
          <w:pgNumType w:fmt="numberInDash"/>
          <w:cols w:space="720" w:num="1"/>
          <w:docGrid w:type="linesAndChars" w:linePitch="437" w:charSpace="2555"/>
        </w:sectPr>
      </w:pP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第三部分 202</w:t>
      </w:r>
      <w:r>
        <w:rPr>
          <w:rFonts w:hint="eastAsia" w:ascii="TimesNewRoman" w:hAnsi="TimesNewRoman" w:eastAsia="黑体" w:cs="TimesNewRoman"/>
          <w:bCs/>
          <w:sz w:val="36"/>
          <w:szCs w:val="36"/>
        </w:rPr>
        <w:t>3</w:t>
      </w:r>
      <w:r>
        <w:rPr>
          <w:rFonts w:ascii="TimesNewRoman" w:hAnsi="TimesNewRoman" w:eastAsia="黑体" w:cs="TimesNewRoman"/>
          <w:bCs/>
          <w:sz w:val="36"/>
          <w:szCs w:val="36"/>
        </w:rPr>
        <w:t>年部门预算情况说明</w:t>
      </w:r>
    </w:p>
    <w:p>
      <w:pPr>
        <w:pStyle w:val="5"/>
        <w:adjustRightInd w:val="0"/>
        <w:snapToGrid w:val="0"/>
        <w:spacing w:line="560" w:lineRule="exact"/>
        <w:rPr>
          <w:rFonts w:ascii="TimesNewRoman" w:hAnsi="TimesNewRoman" w:eastAsia="黑体" w:cs="TimesNewRoman"/>
          <w:bCs/>
          <w:sz w:val="32"/>
          <w:szCs w:val="32"/>
        </w:rPr>
      </w:pP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一、关于202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159.54</w:t>
      </w:r>
      <w:r>
        <w:rPr>
          <w:rFonts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全部为</w:t>
      </w:r>
      <w:r>
        <w:rPr>
          <w:rFonts w:ascii="TimesNewRoman" w:hAnsi="TimesNewRoman" w:eastAsia="仿宋_GB2312" w:cs="TimesNewRoman"/>
          <w:sz w:val="32"/>
          <w:szCs w:val="32"/>
        </w:rPr>
        <w:t>一般公共预算拨款收入，支出包括：一般公共服务支出、社会保障和就业支出、卫生健康支出、住房保障支出。</w:t>
      </w:r>
    </w:p>
    <w:p>
      <w:pPr>
        <w:pStyle w:val="5"/>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二、关于202</w:t>
      </w:r>
      <w:r>
        <w:rPr>
          <w:rFonts w:hint="eastAsia" w:ascii="TimesNewRoman" w:hAnsi="TimesNewRoman" w:eastAsia="黑体" w:cs="TimesNewRoman"/>
          <w:sz w:val="32"/>
          <w:szCs w:val="32"/>
        </w:rPr>
        <w:t>3</w:t>
      </w:r>
      <w:r>
        <w:rPr>
          <w:rFonts w:ascii="TimesNewRoman" w:hAnsi="TimesNewRoman" w:eastAsia="黑体" w:cs="TimesNewRoman"/>
          <w:sz w:val="32"/>
          <w:szCs w:val="32"/>
        </w:rPr>
        <w:t>年收入总表的说明</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工商业联合会</w:t>
      </w:r>
      <w:r>
        <w:rPr>
          <w:rFonts w:ascii="TimesNewRoman" w:hAnsi="TimesNewRoman" w:cs="TimesNewRoman"/>
          <w:szCs w:val="32"/>
        </w:rPr>
        <w:t>202</w:t>
      </w:r>
      <w:r>
        <w:rPr>
          <w:rFonts w:hint="eastAsia" w:ascii="TimesNewRoman" w:hAnsi="TimesNewRoman" w:cs="TimesNewRoman"/>
          <w:szCs w:val="32"/>
        </w:rPr>
        <w:t>3</w:t>
      </w:r>
      <w:r>
        <w:rPr>
          <w:rFonts w:ascii="TimesNewRoman" w:hAnsi="TimesNewRoman" w:cs="TimesNewRoman"/>
          <w:szCs w:val="32"/>
        </w:rPr>
        <w:t>年收入预算</w:t>
      </w:r>
      <w:r>
        <w:rPr>
          <w:rFonts w:hint="eastAsia" w:ascii="TimesNewRoman" w:hAnsi="TimesNewRoman" w:cs="TimesNewRoman"/>
          <w:szCs w:val="32"/>
          <w:lang w:val="en-US" w:eastAsia="zh-CN"/>
        </w:rPr>
        <w:t>159.54</w:t>
      </w:r>
      <w:r>
        <w:rPr>
          <w:rFonts w:ascii="TimesNewRoman" w:hAnsi="TimesNewRoman" w:cs="TimesNewRoman"/>
          <w:szCs w:val="32"/>
        </w:rPr>
        <w:t>万元，其中，本年收入</w:t>
      </w:r>
      <w:r>
        <w:rPr>
          <w:rFonts w:hint="eastAsia" w:ascii="TimesNewRoman" w:hAnsi="TimesNewRoman" w:cs="TimesNewRoman"/>
          <w:szCs w:val="32"/>
          <w:lang w:val="en-US" w:eastAsia="zh-CN"/>
        </w:rPr>
        <w:t>159.54</w:t>
      </w:r>
      <w:r>
        <w:rPr>
          <w:rFonts w:ascii="TimesNewRoman" w:hAnsi="TimesNewRoman" w:cs="TimesNewRoman"/>
          <w:szCs w:val="32"/>
        </w:rPr>
        <w:t>万元，上年结转</w:t>
      </w:r>
      <w:r>
        <w:rPr>
          <w:rFonts w:hint="eastAsia" w:ascii="TimesNewRoman" w:hAnsi="TimesNewRoman" w:cs="TimesNewRoman"/>
          <w:szCs w:val="32"/>
        </w:rPr>
        <w:t>收入</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（一）本年收入</w:t>
      </w:r>
      <w:r>
        <w:rPr>
          <w:rFonts w:hint="eastAsia" w:ascii="TimesNewRoman" w:hAnsi="TimesNewRoman" w:cs="TimesNewRoman"/>
          <w:szCs w:val="32"/>
          <w:lang w:val="en-US" w:eastAsia="zh-CN"/>
        </w:rPr>
        <w:t>159.54</w:t>
      </w:r>
      <w:r>
        <w:rPr>
          <w:rFonts w:ascii="TimesNewRoman" w:hAnsi="TimesNewRoman" w:cs="TimesNewRoman"/>
          <w:szCs w:val="32"/>
        </w:rPr>
        <w:t>万元，</w:t>
      </w:r>
      <w:r>
        <w:rPr>
          <w:rFonts w:hint="eastAsia" w:ascii="TimesNewRoman" w:hAnsi="TimesNewRoman" w:cs="TimesNewRoman"/>
          <w:szCs w:val="32"/>
          <w:lang w:eastAsia="zh-CN"/>
        </w:rPr>
        <w:t>全部为</w:t>
      </w:r>
      <w:r>
        <w:rPr>
          <w:rFonts w:ascii="TimesNewRoman" w:hAnsi="TimesNewRoman" w:cs="TimesNewRoman"/>
          <w:szCs w:val="32"/>
        </w:rPr>
        <w:t>一般公共预算拨款收入</w:t>
      </w:r>
      <w:r>
        <w:rPr>
          <w:rFonts w:hint="eastAsia" w:ascii="TimesNewRoman" w:hAnsi="TimesNewRoman" w:cs="TimesNewRoman"/>
          <w:szCs w:val="32"/>
          <w:lang w:eastAsia="zh-CN"/>
        </w:rPr>
        <w:t>，</w:t>
      </w:r>
      <w:r>
        <w:rPr>
          <w:rFonts w:ascii="TimesNewRoman" w:hAnsi="TimesNewRoman" w:cs="TimesNewRoman"/>
          <w:szCs w:val="32"/>
        </w:rPr>
        <w:t>占</w:t>
      </w:r>
      <w:r>
        <w:rPr>
          <w:rFonts w:hint="eastAsia" w:ascii="TimesNewRoman" w:hAnsi="TimesNewRoman" w:cs="TimesNewRoman"/>
          <w:szCs w:val="32"/>
          <w:lang w:val="en-US" w:eastAsia="zh-CN"/>
        </w:rPr>
        <w:t>100.0</w:t>
      </w:r>
      <w:r>
        <w:rPr>
          <w:rFonts w:ascii="TimesNewRoman" w:hAnsi="TimesNewRoman" w:cs="TimesNewRoman"/>
          <w:szCs w:val="32"/>
        </w:rPr>
        <w:t>%，比202</w:t>
      </w:r>
      <w:r>
        <w:rPr>
          <w:rFonts w:hint="eastAsia" w:ascii="TimesNewRoman" w:hAnsi="TimesNewRoman" w:cs="TimesNewRoman"/>
          <w:szCs w:val="32"/>
        </w:rPr>
        <w:t>2</w:t>
      </w:r>
      <w:r>
        <w:rPr>
          <w:rFonts w:ascii="TimesNewRoman" w:hAnsi="TimesNewRoman" w:cs="TimesNewRoman"/>
          <w:szCs w:val="32"/>
        </w:rPr>
        <w:t>年预算增加</w:t>
      </w:r>
      <w:r>
        <w:rPr>
          <w:rFonts w:hint="eastAsia" w:ascii="TimesNewRoman" w:hAnsi="TimesNewRoman" w:cs="TimesNewRoman"/>
          <w:szCs w:val="32"/>
          <w:lang w:val="en-US" w:eastAsia="zh-CN"/>
        </w:rPr>
        <w:t>43.89</w:t>
      </w:r>
      <w:r>
        <w:rPr>
          <w:rFonts w:ascii="TimesNewRoman" w:hAnsi="TimesNewRoman" w:cs="TimesNewRoman"/>
          <w:szCs w:val="32"/>
        </w:rPr>
        <w:t>万元，增长</w:t>
      </w:r>
      <w:r>
        <w:rPr>
          <w:rFonts w:hint="eastAsia" w:ascii="TimesNewRoman" w:hAnsi="TimesNewRoman" w:cs="TimesNewRoman"/>
          <w:szCs w:val="32"/>
          <w:lang w:val="en-US" w:eastAsia="zh-CN"/>
        </w:rPr>
        <w:t>37.9</w:t>
      </w:r>
      <w:r>
        <w:rPr>
          <w:rFonts w:ascii="TimesNewRoman" w:hAnsi="TimesNewRoman" w:cs="TimesNewRoman"/>
          <w:szCs w:val="32"/>
        </w:rPr>
        <w:t>%，增长原因主要是</w:t>
      </w:r>
      <w:r>
        <w:rPr>
          <w:rFonts w:hint="eastAsia" w:ascii="仿宋_GB2312" w:hAnsi="仿宋" w:eastAsia="仿宋_GB2312"/>
          <w:sz w:val="32"/>
          <w:szCs w:val="32"/>
          <w:lang w:eastAsia="zh-CN"/>
        </w:rPr>
        <w:t>人员经费增长</w:t>
      </w:r>
      <w:r>
        <w:rPr>
          <w:rFonts w:ascii="TimesNewRoman" w:hAnsi="TimesNewRoman" w:cs="TimesNewRoman"/>
          <w:szCs w:val="32"/>
        </w:rPr>
        <w:t>。</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三、关于2023年支出总表的说明</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szCs w:val="32"/>
        </w:rPr>
        <w:t>宿松县</w:t>
      </w:r>
      <w:r>
        <w:rPr>
          <w:rFonts w:hint="eastAsia" w:ascii="TimesNewRoman" w:hAnsi="TimesNewRoman" w:cs="TimesNewRoman"/>
          <w:szCs w:val="32"/>
          <w:lang w:eastAsia="zh-CN"/>
        </w:rPr>
        <w:t>工商业联合会</w:t>
      </w:r>
      <w:r>
        <w:rPr>
          <w:rFonts w:ascii="TimesNewRoman" w:hAnsi="TimesNewRoman" w:cs="TimesNewRoman"/>
          <w:szCs w:val="32"/>
        </w:rPr>
        <w:t>2023年支出预算</w:t>
      </w:r>
      <w:r>
        <w:rPr>
          <w:rFonts w:hint="eastAsia" w:ascii="TimesNewRoman" w:hAnsi="TimesNewRoman" w:cs="TimesNewRoman"/>
          <w:szCs w:val="32"/>
          <w:lang w:val="en-US" w:eastAsia="zh-CN"/>
        </w:rPr>
        <w:t>159.54</w:t>
      </w:r>
      <w:r>
        <w:rPr>
          <w:rFonts w:ascii="TimesNewRoman" w:hAnsi="TimesNewRoman" w:cs="TimesNewRoman"/>
          <w:szCs w:val="32"/>
        </w:rPr>
        <w:t>万元，比2022年预算增加</w:t>
      </w:r>
      <w:r>
        <w:rPr>
          <w:rFonts w:hint="eastAsia" w:ascii="TimesNewRoman" w:hAnsi="TimesNewRoman" w:cs="TimesNewRoman"/>
          <w:szCs w:val="32"/>
          <w:lang w:val="en-US" w:eastAsia="zh-CN"/>
        </w:rPr>
        <w:t>43.89</w:t>
      </w:r>
      <w:r>
        <w:rPr>
          <w:rFonts w:ascii="TimesNewRoman" w:hAnsi="TimesNewRoman" w:cs="TimesNewRoman"/>
          <w:szCs w:val="32"/>
        </w:rPr>
        <w:t>万元，增长</w:t>
      </w:r>
      <w:r>
        <w:rPr>
          <w:rFonts w:hint="eastAsia" w:ascii="TimesNewRoman" w:hAnsi="TimesNewRoman" w:cs="TimesNewRoman"/>
          <w:szCs w:val="32"/>
          <w:lang w:val="en-US" w:eastAsia="zh-CN"/>
        </w:rPr>
        <w:t>37.9</w:t>
      </w:r>
      <w:r>
        <w:rPr>
          <w:rFonts w:ascii="TimesNewRoman" w:hAnsi="TimesNewRoman" w:cs="TimesNewRoman"/>
          <w:szCs w:val="32"/>
        </w:rPr>
        <w:t>%，增长原因主要是</w:t>
      </w:r>
      <w:r>
        <w:rPr>
          <w:rFonts w:hint="eastAsia" w:ascii="仿宋_GB2312" w:hAnsi="仿宋" w:eastAsia="仿宋_GB2312"/>
          <w:sz w:val="32"/>
          <w:szCs w:val="32"/>
          <w:lang w:eastAsia="zh-CN"/>
        </w:rPr>
        <w:t>人员经费增长</w:t>
      </w:r>
      <w:r>
        <w:rPr>
          <w:rFonts w:ascii="TimesNewRoman" w:hAnsi="TimesNewRoman" w:cs="TimesNewRoman"/>
          <w:szCs w:val="32"/>
        </w:rPr>
        <w:t>。其中，基本支出</w:t>
      </w:r>
      <w:r>
        <w:rPr>
          <w:rFonts w:hint="eastAsia" w:ascii="TimesNewRoman" w:hAnsi="TimesNewRoman" w:cs="TimesNewRoman"/>
          <w:szCs w:val="32"/>
          <w:lang w:val="en-US" w:eastAsia="zh-CN"/>
        </w:rPr>
        <w:t>110.54</w:t>
      </w:r>
      <w:r>
        <w:rPr>
          <w:rFonts w:ascii="TimesNewRoman" w:hAnsi="TimesNewRoman" w:cs="TimesNewRoman"/>
          <w:szCs w:val="32"/>
        </w:rPr>
        <w:t>万元，占</w:t>
      </w:r>
      <w:r>
        <w:rPr>
          <w:rFonts w:hint="eastAsia" w:ascii="TimesNewRoman" w:hAnsi="TimesNewRoman" w:cs="TimesNewRoman"/>
          <w:szCs w:val="32"/>
          <w:lang w:val="en-US" w:eastAsia="zh-CN"/>
        </w:rPr>
        <w:t>69.3</w:t>
      </w:r>
      <w:r>
        <w:rPr>
          <w:rFonts w:ascii="TimesNewRoman" w:hAnsi="TimesNewRoman" w:cs="TimesNewRoman"/>
          <w:szCs w:val="32"/>
        </w:rPr>
        <w:t>%，主要用于保障机构日常运转、完成日常工作任务；项目支出</w:t>
      </w:r>
      <w:r>
        <w:rPr>
          <w:rFonts w:hint="eastAsia" w:ascii="TimesNewRoman" w:hAnsi="TimesNewRoman" w:cs="TimesNewRoman"/>
          <w:szCs w:val="32"/>
          <w:lang w:val="en-US" w:eastAsia="zh-CN"/>
        </w:rPr>
        <w:t>49.00</w:t>
      </w:r>
      <w:r>
        <w:rPr>
          <w:rFonts w:ascii="TimesNewRoman" w:hAnsi="TimesNewRoman" w:cs="TimesNewRoman"/>
          <w:szCs w:val="32"/>
        </w:rPr>
        <w:t>万元，占</w:t>
      </w:r>
      <w:r>
        <w:rPr>
          <w:rFonts w:hint="eastAsia" w:ascii="TimesNewRoman" w:hAnsi="TimesNewRoman" w:cs="TimesNewRoman"/>
          <w:szCs w:val="32"/>
          <w:lang w:val="en-US" w:eastAsia="zh-CN"/>
        </w:rPr>
        <w:t>30.7</w:t>
      </w:r>
      <w:r>
        <w:rPr>
          <w:rFonts w:ascii="TimesNewRoman" w:hAnsi="TimesNewRoman" w:cs="TimesNewRoman"/>
          <w:szCs w:val="32"/>
        </w:rPr>
        <w:t>%，主要用于</w:t>
      </w:r>
      <w:r>
        <w:rPr>
          <w:rFonts w:hint="eastAsia" w:ascii="仿宋_GB2312" w:hAnsi="仿宋" w:eastAsia="仿宋_GB2312" w:cs="Times New Roman"/>
          <w:sz w:val="32"/>
          <w:szCs w:val="32"/>
          <w:lang w:eastAsia="zh-CN"/>
        </w:rPr>
        <w:t>商调会专项工作、“万企兴万村”调度工作及办公和考察调研等</w:t>
      </w:r>
      <w:r>
        <w:rPr>
          <w:rFonts w:ascii="TimesNewRoman" w:hAnsi="TimesNewRoman" w:cs="TimesNewRoman"/>
          <w:szCs w:val="32"/>
        </w:rPr>
        <w:t>。</w:t>
      </w:r>
    </w:p>
    <w:p>
      <w:pPr>
        <w:adjustRightInd w:val="0"/>
        <w:snapToGrid w:val="0"/>
        <w:spacing w:line="560" w:lineRule="exact"/>
        <w:ind w:firstLine="640" w:firstLineChars="200"/>
        <w:rPr>
          <w:rFonts w:ascii="TimesNewRoman" w:hAnsi="TimesNewRoman" w:eastAsia="黑体" w:cs="TimesNewRoman"/>
          <w:kern w:val="0"/>
          <w:szCs w:val="32"/>
        </w:rPr>
      </w:pPr>
      <w:r>
        <w:rPr>
          <w:rFonts w:ascii="TimesNewRoman" w:hAnsi="TimesNewRoman" w:eastAsia="黑体" w:cs="TimesNewRoman"/>
          <w:kern w:val="0"/>
          <w:szCs w:val="32"/>
        </w:rPr>
        <w:t>四、关于2023年财政拨款收支总表的说明</w:t>
      </w:r>
    </w:p>
    <w:p>
      <w:pPr>
        <w:pStyle w:val="5"/>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2023年财政拨款收支预算</w:t>
      </w:r>
      <w:r>
        <w:rPr>
          <w:rFonts w:hint="eastAsia" w:ascii="TimesNewRoman" w:hAnsi="TimesNewRoman" w:eastAsia="仿宋_GB2312" w:cs="TimesNewRoman"/>
          <w:sz w:val="32"/>
          <w:szCs w:val="32"/>
          <w:lang w:val="en-US" w:eastAsia="zh-CN"/>
        </w:rPr>
        <w:t>159.54</w:t>
      </w:r>
      <w:r>
        <w:rPr>
          <w:rFonts w:ascii="TimesNewRoman" w:hAnsi="TimesNewRoman" w:eastAsia="仿宋_GB2312" w:cs="TimesNewRoman"/>
          <w:sz w:val="32"/>
          <w:szCs w:val="32"/>
        </w:rPr>
        <w:t>万元。收入按资金来源分</w:t>
      </w:r>
      <w:r>
        <w:rPr>
          <w:rFonts w:hint="eastAsia" w:ascii="TimesNewRoman" w:hAnsi="TimesNewRoman" w:eastAsia="仿宋_GB2312" w:cs="TimesNewRoman"/>
          <w:sz w:val="32"/>
          <w:szCs w:val="32"/>
          <w:lang w:eastAsia="zh-CN"/>
        </w:rPr>
        <w:t>全部</w:t>
      </w:r>
      <w:r>
        <w:rPr>
          <w:rFonts w:ascii="TimesNewRoman" w:hAnsi="TimesNewRoman" w:eastAsia="仿宋_GB2312" w:cs="TimesNewRoman"/>
          <w:sz w:val="32"/>
          <w:szCs w:val="32"/>
        </w:rPr>
        <w:t>为一般公共预算拨款</w:t>
      </w:r>
      <w:r>
        <w:rPr>
          <w:rFonts w:hint="eastAsia" w:ascii="TimesNewRoman" w:hAnsi="TimesNewRoman" w:eastAsia="仿宋_GB2312" w:cs="TimesNewRoman"/>
          <w:sz w:val="32"/>
          <w:szCs w:val="32"/>
          <w:lang w:eastAsia="zh-CN"/>
        </w:rPr>
        <w:t>；</w:t>
      </w:r>
      <w:r>
        <w:rPr>
          <w:rFonts w:ascii="TimesNewRoman" w:hAnsi="TimesNewRoman" w:eastAsia="仿宋_GB2312" w:cs="TimesNewRoman"/>
          <w:sz w:val="32"/>
          <w:szCs w:val="32"/>
        </w:rPr>
        <w:t>按资金年度分</w:t>
      </w:r>
      <w:r>
        <w:rPr>
          <w:rFonts w:hint="eastAsia" w:ascii="TimesNewRoman" w:hAnsi="TimesNewRoman" w:eastAsia="仿宋_GB2312" w:cs="TimesNewRoman"/>
          <w:sz w:val="32"/>
          <w:szCs w:val="32"/>
          <w:lang w:eastAsia="zh-CN"/>
        </w:rPr>
        <w:t>全部为当</w:t>
      </w:r>
      <w:r>
        <w:rPr>
          <w:rFonts w:ascii="TimesNewRoman" w:hAnsi="TimesNewRoman" w:eastAsia="仿宋_GB2312" w:cs="TimesNewRoman"/>
          <w:sz w:val="32"/>
          <w:szCs w:val="32"/>
        </w:rPr>
        <w:t>年财政拨款收入</w:t>
      </w:r>
      <w:r>
        <w:rPr>
          <w:rFonts w:hint="eastAsia" w:ascii="TimesNewRoman" w:hAnsi="TimesNewRoman" w:eastAsia="仿宋_GB2312" w:cs="TimesNewRoman"/>
          <w:sz w:val="32"/>
          <w:szCs w:val="32"/>
          <w:lang w:eastAsia="zh-CN"/>
        </w:rPr>
        <w:t>（含上年结转）</w:t>
      </w:r>
      <w:r>
        <w:rPr>
          <w:rFonts w:ascii="TimesNewRoman" w:hAnsi="TimesNewRoman" w:eastAsia="仿宋_GB2312" w:cs="TimesNewRoman"/>
          <w:sz w:val="32"/>
          <w:szCs w:val="32"/>
        </w:rPr>
        <w:t>。支出按功能分类分为：一般公共服务支出</w:t>
      </w:r>
      <w:r>
        <w:rPr>
          <w:rFonts w:hint="eastAsia" w:ascii="TimesNewRoman" w:hAnsi="TimesNewRoman" w:eastAsia="仿宋_GB2312" w:cs="TimesNewRoman"/>
          <w:sz w:val="32"/>
          <w:szCs w:val="32"/>
          <w:lang w:val="en-US" w:eastAsia="zh-CN"/>
        </w:rPr>
        <w:t>130.33</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81.7</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18.10</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11.3</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3.21</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2.0</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7.90</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5.0</w:t>
      </w:r>
      <w:r>
        <w:rPr>
          <w:rFonts w:ascii="TimesNewRoman" w:hAnsi="TimesNewRoman" w:eastAsia="仿宋_GB2312" w:cs="TimesNewRoman"/>
          <w:sz w:val="32"/>
          <w:szCs w:val="32"/>
        </w:rPr>
        <w:t>%。</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五、关于2023年一般公共预算支出表的说明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（一）一般公共预算支出规模变化情况。</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2023年一般公共预算支出</w:t>
      </w:r>
      <w:r>
        <w:rPr>
          <w:rFonts w:hint="eastAsia" w:ascii="TimesNewRoman" w:hAnsi="TimesNewRoman" w:eastAsia="仿宋_GB2312" w:cs="TimesNewRoman"/>
          <w:sz w:val="32"/>
          <w:szCs w:val="32"/>
          <w:lang w:val="en-US" w:eastAsia="zh-CN"/>
        </w:rPr>
        <w:t>159.54</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43.89</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37.9</w:t>
      </w:r>
      <w:r>
        <w:rPr>
          <w:rFonts w:ascii="TimesNewRoman" w:hAnsi="TimesNewRoman" w:eastAsia="仿宋_GB2312" w:cs="TimesNewRoman"/>
          <w:sz w:val="32"/>
          <w:szCs w:val="32"/>
        </w:rPr>
        <w:t>%，主要原因是</w:t>
      </w:r>
      <w:r>
        <w:rPr>
          <w:rFonts w:hint="eastAsia" w:ascii="仿宋_GB2312" w:hAnsi="仿宋" w:eastAsia="仿宋_GB2312"/>
          <w:sz w:val="32"/>
          <w:szCs w:val="32"/>
          <w:lang w:eastAsia="zh-CN"/>
        </w:rPr>
        <w:t>人员经费增长</w:t>
      </w:r>
      <w:r>
        <w:rPr>
          <w:rFonts w:ascii="TimesNewRoman" w:hAnsi="TimesNewRoman" w:eastAsia="仿宋_GB2312" w:cs="TimesNewRoman"/>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仿宋_GB2312" w:cs="TimesNewRoman"/>
          <w:sz w:val="32"/>
          <w:szCs w:val="32"/>
        </w:rPr>
        <w:t>一般公共服务支出</w:t>
      </w:r>
      <w:r>
        <w:rPr>
          <w:rFonts w:hint="eastAsia" w:ascii="TimesNewRoman" w:hAnsi="TimesNewRoman" w:eastAsia="仿宋_GB2312" w:cs="TimesNewRoman"/>
          <w:sz w:val="32"/>
          <w:szCs w:val="32"/>
          <w:lang w:val="en-US" w:eastAsia="zh-CN"/>
        </w:rPr>
        <w:t>130.33</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81.7</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18.10</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11.3</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3.21</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2.0</w:t>
      </w:r>
      <w:r>
        <w:rPr>
          <w:rFonts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7.90</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5.0</w:t>
      </w:r>
      <w:r>
        <w:rPr>
          <w:rFonts w:ascii="TimesNewRoman" w:hAnsi="TimesNewRoman" w:eastAsia="仿宋_GB2312" w:cs="TimesNewRoman"/>
          <w:sz w:val="32"/>
          <w:szCs w:val="32"/>
        </w:rPr>
        <w:t>%。</w:t>
      </w:r>
    </w:p>
    <w:p>
      <w:pPr>
        <w:adjustRightInd w:val="0"/>
        <w:snapToGrid w:val="0"/>
        <w:spacing w:line="560" w:lineRule="exact"/>
        <w:ind w:firstLine="643" w:firstLineChars="200"/>
        <w:rPr>
          <w:rFonts w:ascii="TimesNewRoman" w:hAnsi="TimesNewRoman" w:eastAsia="楷体_GB2312" w:cs="TimesNewRoman"/>
          <w:b/>
          <w:szCs w:val="32"/>
        </w:rPr>
      </w:pPr>
      <w:r>
        <w:rPr>
          <w:rFonts w:ascii="TimesNewRoman" w:hAnsi="TimesNewRoman" w:eastAsia="楷体_GB2312" w:cs="TimesNewRoman"/>
          <w:b/>
          <w:szCs w:val="32"/>
        </w:rPr>
        <w:t>（三）一般公共预算支出具体使用情况。</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1.一般公共服务支出（类）</w:t>
      </w:r>
      <w:r>
        <w:rPr>
          <w:rFonts w:hint="eastAsia" w:ascii="仿宋_GB2312" w:hAnsi="仿宋"/>
          <w:b/>
          <w:sz w:val="32"/>
          <w:szCs w:val="32"/>
          <w:lang w:eastAsia="zh-CN"/>
        </w:rPr>
        <w:t>民主党派及工商联事务</w:t>
      </w:r>
      <w:r>
        <w:rPr>
          <w:rFonts w:hint="eastAsia" w:ascii="仿宋_GB2312" w:hAnsi="仿宋" w:eastAsia="仿宋_GB2312"/>
          <w:b/>
          <w:sz w:val="32"/>
          <w:szCs w:val="32"/>
        </w:rPr>
        <w:t>（款）行政运行（项）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98.33</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w:t>
      </w:r>
      <w:r>
        <w:rPr>
          <w:rFonts w:hint="eastAsia" w:ascii="仿宋_GB2312" w:hAnsi="仿宋"/>
          <w:sz w:val="32"/>
          <w:szCs w:val="32"/>
          <w:lang w:eastAsia="zh-CN"/>
        </w:rPr>
        <w:t>减少</w:t>
      </w:r>
      <w:r>
        <w:rPr>
          <w:rFonts w:hint="eastAsia" w:ascii="仿宋_GB2312" w:hAnsi="仿宋"/>
          <w:sz w:val="32"/>
          <w:szCs w:val="32"/>
          <w:lang w:val="en-US" w:eastAsia="zh-CN"/>
        </w:rPr>
        <w:t>17.32</w:t>
      </w:r>
      <w:r>
        <w:rPr>
          <w:rFonts w:hint="eastAsia" w:ascii="仿宋_GB2312" w:hAnsi="仿宋" w:eastAsia="仿宋_GB2312"/>
          <w:sz w:val="32"/>
          <w:szCs w:val="32"/>
        </w:rPr>
        <w:t>万元，</w:t>
      </w:r>
      <w:r>
        <w:rPr>
          <w:rFonts w:hint="eastAsia" w:ascii="仿宋_GB2312" w:hAnsi="仿宋"/>
          <w:sz w:val="32"/>
          <w:szCs w:val="32"/>
          <w:lang w:eastAsia="zh-CN"/>
        </w:rPr>
        <w:t>降低</w:t>
      </w:r>
      <w:r>
        <w:rPr>
          <w:rFonts w:hint="eastAsia" w:ascii="仿宋_GB2312" w:hAnsi="仿宋"/>
          <w:sz w:val="32"/>
          <w:szCs w:val="32"/>
          <w:lang w:val="en-US" w:eastAsia="zh-CN"/>
        </w:rPr>
        <w:t>15.0</w:t>
      </w:r>
      <w:r>
        <w:rPr>
          <w:rFonts w:hint="eastAsia" w:ascii="仿宋_GB2312" w:hAnsi="仿宋" w:eastAsia="仿宋_GB2312"/>
          <w:sz w:val="32"/>
          <w:szCs w:val="32"/>
        </w:rPr>
        <w:t>%，</w:t>
      </w:r>
      <w:r>
        <w:rPr>
          <w:rFonts w:hint="eastAsia" w:ascii="仿宋_GB2312" w:hAnsi="仿宋"/>
          <w:sz w:val="32"/>
          <w:szCs w:val="32"/>
          <w:lang w:eastAsia="zh-CN"/>
        </w:rPr>
        <w:t>减少</w:t>
      </w:r>
      <w:r>
        <w:rPr>
          <w:rFonts w:hint="eastAsia" w:ascii="仿宋_GB2312" w:hAnsi="仿宋" w:eastAsia="仿宋_GB2312"/>
          <w:sz w:val="32"/>
          <w:szCs w:val="32"/>
        </w:rPr>
        <w:t>原因主要是202</w:t>
      </w:r>
      <w:r>
        <w:rPr>
          <w:rFonts w:hint="eastAsia" w:ascii="仿宋_GB2312" w:hAnsi="仿宋"/>
          <w:sz w:val="32"/>
          <w:szCs w:val="32"/>
          <w:lang w:val="en-US" w:eastAsia="zh-CN"/>
        </w:rPr>
        <w:t>3</w:t>
      </w:r>
      <w:r>
        <w:rPr>
          <w:rFonts w:hint="eastAsia" w:ascii="仿宋_GB2312" w:hAnsi="仿宋" w:eastAsia="仿宋_GB2312"/>
          <w:sz w:val="32"/>
          <w:szCs w:val="32"/>
        </w:rPr>
        <w:t>年</w:t>
      </w:r>
      <w:r>
        <w:rPr>
          <w:rFonts w:hint="eastAsia" w:ascii="仿宋_GB2312" w:hAnsi="仿宋"/>
          <w:sz w:val="32"/>
          <w:szCs w:val="32"/>
          <w:lang w:eastAsia="zh-CN"/>
        </w:rPr>
        <w:t>预算口径进行了调整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b/>
          <w:sz w:val="32"/>
          <w:szCs w:val="32"/>
          <w:lang w:val="en-US" w:eastAsia="zh-CN"/>
        </w:rPr>
      </w:pPr>
      <w:r>
        <w:rPr>
          <w:rFonts w:hint="eastAsia" w:ascii="仿宋_GB2312" w:hAnsi="仿宋"/>
          <w:b/>
          <w:sz w:val="32"/>
          <w:szCs w:val="32"/>
          <w:lang w:val="en-US" w:eastAsia="zh-CN"/>
        </w:rPr>
        <w:t>2</w:t>
      </w:r>
      <w:r>
        <w:rPr>
          <w:rFonts w:hint="eastAsia" w:ascii="仿宋_GB2312" w:hAnsi="仿宋" w:eastAsia="仿宋_GB2312"/>
          <w:b/>
          <w:sz w:val="32"/>
          <w:szCs w:val="32"/>
        </w:rPr>
        <w:t>.一般公共服务支出（类）</w:t>
      </w:r>
      <w:r>
        <w:rPr>
          <w:rFonts w:hint="eastAsia" w:ascii="仿宋_GB2312" w:hAnsi="仿宋"/>
          <w:b/>
          <w:sz w:val="32"/>
          <w:szCs w:val="32"/>
          <w:lang w:eastAsia="zh-CN"/>
        </w:rPr>
        <w:t>民主党派及工商联事务</w:t>
      </w:r>
      <w:r>
        <w:rPr>
          <w:rFonts w:hint="eastAsia" w:ascii="仿宋_GB2312" w:hAnsi="仿宋" w:eastAsia="仿宋_GB2312"/>
          <w:b/>
          <w:sz w:val="32"/>
          <w:szCs w:val="32"/>
        </w:rPr>
        <w:t>（款）</w:t>
      </w:r>
      <w:r>
        <w:rPr>
          <w:rFonts w:hint="eastAsia" w:ascii="仿宋_GB2312" w:hAnsi="仿宋"/>
          <w:b/>
          <w:sz w:val="32"/>
          <w:szCs w:val="32"/>
          <w:lang w:eastAsia="zh-CN"/>
        </w:rPr>
        <w:t>其他民主党派及工商联事务支出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32.00</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32.00</w:t>
      </w:r>
      <w:r>
        <w:rPr>
          <w:rFonts w:hint="eastAsia" w:ascii="仿宋_GB2312" w:hAnsi="仿宋" w:eastAsia="仿宋_GB2312"/>
          <w:sz w:val="32"/>
          <w:szCs w:val="32"/>
        </w:rPr>
        <w:t>万元，增长原因是202</w:t>
      </w:r>
      <w:r>
        <w:rPr>
          <w:rFonts w:hint="eastAsia" w:ascii="仿宋_GB2312" w:hAnsi="仿宋"/>
          <w:sz w:val="32"/>
          <w:szCs w:val="32"/>
          <w:lang w:val="en-US" w:eastAsia="zh-CN"/>
        </w:rPr>
        <w:t>2</w:t>
      </w:r>
      <w:r>
        <w:rPr>
          <w:rFonts w:hint="eastAsia" w:ascii="仿宋_GB2312" w:hAnsi="仿宋" w:eastAsia="仿宋_GB2312"/>
          <w:sz w:val="32"/>
          <w:szCs w:val="32"/>
        </w:rPr>
        <w:t>年预算</w:t>
      </w:r>
      <w:r>
        <w:rPr>
          <w:rFonts w:hint="eastAsia" w:ascii="仿宋_GB2312" w:hAnsi="仿宋"/>
          <w:sz w:val="32"/>
          <w:szCs w:val="32"/>
          <w:lang w:eastAsia="zh-CN"/>
        </w:rPr>
        <w:t>未</w:t>
      </w:r>
      <w:r>
        <w:rPr>
          <w:rFonts w:hint="eastAsia" w:ascii="仿宋_GB2312" w:hAnsi="仿宋" w:eastAsia="仿宋_GB2312"/>
          <w:sz w:val="32"/>
          <w:szCs w:val="32"/>
        </w:rPr>
        <w:t>编制</w:t>
      </w:r>
      <w:r>
        <w:rPr>
          <w:rFonts w:hint="eastAsia" w:ascii="仿宋_GB2312" w:hAnsi="仿宋"/>
          <w:sz w:val="32"/>
          <w:szCs w:val="32"/>
          <w:lang w:eastAsia="zh-CN"/>
        </w:rPr>
        <w:t>此项</w:t>
      </w:r>
      <w:r>
        <w:rPr>
          <w:rFonts w:hint="eastAsia" w:ascii="仿宋_GB2312" w:hAnsi="仿宋" w:eastAsia="仿宋_GB2312"/>
          <w:sz w:val="32"/>
          <w:szCs w:val="32"/>
        </w:rPr>
        <w:t>。</w:t>
      </w:r>
      <w:r>
        <w:rPr>
          <w:rFonts w:hint="eastAsia" w:ascii="仿宋_GB2312" w:hAnsi="仿宋"/>
          <w:sz w:val="32"/>
          <w:szCs w:val="32"/>
          <w:lang w:val="en-US" w:eastAsia="zh-CN"/>
        </w:rPr>
        <w:t xml:space="preserve">            </w:t>
      </w:r>
      <w:r>
        <w:rPr>
          <w:rFonts w:hint="eastAsia" w:ascii="仿宋_GB2312" w:hAnsi="仿宋"/>
          <w:b/>
          <w:sz w:val="32"/>
          <w:szCs w:val="32"/>
          <w:lang w:val="en-US" w:eastAsia="zh-CN"/>
        </w:rPr>
        <w:t xml:space="preserve">          </w:t>
      </w:r>
    </w:p>
    <w:p>
      <w:pPr>
        <w:adjustRightInd w:val="0"/>
        <w:snapToGrid w:val="0"/>
        <w:spacing w:line="600" w:lineRule="exact"/>
        <w:ind w:firstLine="643" w:firstLineChars="200"/>
        <w:rPr>
          <w:rFonts w:ascii="仿宋_GB2312" w:hAnsi="仿宋" w:eastAsia="仿宋_GB2312"/>
          <w:sz w:val="32"/>
          <w:szCs w:val="32"/>
        </w:rPr>
      </w:pPr>
      <w:r>
        <w:rPr>
          <w:rFonts w:hint="eastAsia" w:ascii="TimesNewRoman" w:hAnsi="TimesNewRoman" w:cs="TimesNewRoman"/>
          <w:b/>
          <w:szCs w:val="32"/>
          <w:lang w:val="en-US" w:eastAsia="zh-CN"/>
        </w:rPr>
        <w:t>3.</w:t>
      </w:r>
      <w:r>
        <w:rPr>
          <w:rFonts w:ascii="TimesNewRoman" w:hAnsi="TimesNewRoman" w:cs="TimesNewRoman"/>
          <w:b/>
          <w:szCs w:val="32"/>
        </w:rPr>
        <w:t>社会保障和就业支出（类）行政事业单位离退休（款）归口管理的行政事业单位离退休（项）</w:t>
      </w:r>
      <w:r>
        <w:rPr>
          <w:rFonts w:ascii="TimesNewRoman" w:hAnsi="TimesNewRoman" w:cs="TimesNewRoman"/>
          <w:szCs w:val="32"/>
        </w:rPr>
        <w:t>2023年预算</w:t>
      </w:r>
      <w:r>
        <w:rPr>
          <w:rFonts w:hint="eastAsia" w:ascii="TimesNewRoman" w:hAnsi="TimesNewRoman" w:cs="TimesNewRoman"/>
          <w:szCs w:val="32"/>
          <w:lang w:val="en-US" w:eastAsia="zh-CN"/>
        </w:rPr>
        <w:t>2.30</w:t>
      </w:r>
      <w:r>
        <w:rPr>
          <w:rFonts w:ascii="TimesNewRoman" w:hAnsi="TimesNewRoman" w:cs="TimesNewRoman"/>
          <w:szCs w:val="32"/>
        </w:rPr>
        <w:t>万元，比2022年预算增加</w:t>
      </w:r>
      <w:r>
        <w:rPr>
          <w:rFonts w:hint="eastAsia" w:ascii="TimesNewRoman" w:hAnsi="TimesNewRoman" w:cs="TimesNewRoman"/>
          <w:szCs w:val="32"/>
          <w:lang w:val="en-US" w:eastAsia="zh-CN"/>
        </w:rPr>
        <w:t>2.30</w:t>
      </w:r>
      <w:r>
        <w:rPr>
          <w:rFonts w:ascii="TimesNewRoman" w:hAnsi="TimesNewRoman" w:cs="TimesNewRoman"/>
          <w:szCs w:val="32"/>
        </w:rPr>
        <w:t>万元，增长原因</w:t>
      </w:r>
      <w:r>
        <w:rPr>
          <w:rFonts w:hint="eastAsia" w:ascii="仿宋_GB2312" w:hAnsi="仿宋" w:eastAsia="仿宋_GB2312"/>
          <w:sz w:val="32"/>
          <w:szCs w:val="32"/>
        </w:rPr>
        <w:t>是202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b/>
          <w:bCs/>
          <w:sz w:val="32"/>
          <w:szCs w:val="32"/>
          <w:lang w:val="en-US" w:eastAsia="zh-CN"/>
        </w:rPr>
        <w:t>4</w:t>
      </w:r>
      <w:r>
        <w:rPr>
          <w:rFonts w:hint="eastAsia" w:ascii="仿宋_GB2312" w:hAnsi="仿宋" w:eastAsia="仿宋_GB2312"/>
          <w:b/>
          <w:bCs/>
          <w:sz w:val="32"/>
          <w:szCs w:val="32"/>
        </w:rPr>
        <w:t>.社会保障和就业支出（类）行政事业单位养老支出（款）机关事业单位基本养老保险缴费支出（项）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10.53</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10.53</w:t>
      </w:r>
      <w:r>
        <w:rPr>
          <w:rFonts w:hint="eastAsia" w:ascii="仿宋_GB2312" w:hAnsi="仿宋" w:eastAsia="仿宋_GB2312"/>
          <w:sz w:val="32"/>
          <w:szCs w:val="32"/>
        </w:rPr>
        <w:t>万元，增长原因</w:t>
      </w:r>
      <w:r>
        <w:rPr>
          <w:rFonts w:hint="eastAsia" w:ascii="仿宋_GB2312" w:hAnsi="仿宋"/>
          <w:sz w:val="32"/>
          <w:szCs w:val="32"/>
          <w:lang w:eastAsia="zh-CN"/>
        </w:rPr>
        <w:t>主要是</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b/>
          <w:bCs/>
          <w:sz w:val="32"/>
          <w:szCs w:val="32"/>
          <w:lang w:val="en-US" w:eastAsia="zh-CN"/>
        </w:rPr>
        <w:t>5</w:t>
      </w:r>
      <w:r>
        <w:rPr>
          <w:rFonts w:hint="eastAsia" w:ascii="仿宋_GB2312" w:hAnsi="仿宋" w:eastAsia="仿宋_GB2312"/>
          <w:b/>
          <w:bCs/>
          <w:sz w:val="32"/>
          <w:szCs w:val="32"/>
        </w:rPr>
        <w:t>.社会保障和就业支出（类）行政事业单位养老支出（款）机关事业单位职业年金缴费支出（项）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5.27</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5.27</w:t>
      </w:r>
      <w:r>
        <w:rPr>
          <w:rFonts w:hint="eastAsia" w:ascii="仿宋_GB2312" w:hAnsi="仿宋" w:eastAsia="仿宋_GB2312"/>
          <w:sz w:val="32"/>
          <w:szCs w:val="32"/>
        </w:rPr>
        <w:t>万元，增长原因主要</w:t>
      </w:r>
      <w:r>
        <w:rPr>
          <w:rFonts w:hint="eastAsia" w:ascii="仿宋_GB2312" w:hAnsi="仿宋"/>
          <w:sz w:val="32"/>
          <w:szCs w:val="32"/>
          <w:lang w:eastAsia="zh-CN"/>
        </w:rPr>
        <w:t>是人员</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b/>
          <w:bCs/>
          <w:sz w:val="32"/>
          <w:szCs w:val="32"/>
          <w:lang w:val="en-US" w:eastAsia="zh-CN"/>
        </w:rPr>
        <w:t>6</w:t>
      </w:r>
      <w:r>
        <w:rPr>
          <w:rFonts w:hint="eastAsia" w:ascii="仿宋_GB2312" w:hAnsi="仿宋" w:eastAsia="仿宋_GB2312"/>
          <w:b/>
          <w:bCs/>
          <w:sz w:val="32"/>
          <w:szCs w:val="32"/>
        </w:rPr>
        <w:t>.卫生健康支出（类）行政事业单位医疗（款）行政单位医疗（项）</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w:t>
      </w:r>
      <w:r>
        <w:rPr>
          <w:rFonts w:hint="eastAsia" w:ascii="仿宋_GB2312" w:hAnsi="仿宋"/>
          <w:sz w:val="32"/>
          <w:szCs w:val="32"/>
          <w:lang w:val="en-US" w:eastAsia="zh-CN"/>
        </w:rPr>
        <w:t>3.21</w:t>
      </w:r>
      <w:r>
        <w:rPr>
          <w:rFonts w:hint="eastAsia" w:ascii="仿宋_GB2312" w:hAnsi="仿宋" w:eastAsia="仿宋_GB2312"/>
          <w:sz w:val="32"/>
          <w:szCs w:val="32"/>
        </w:rPr>
        <w:t>万元，比202</w:t>
      </w:r>
      <w:r>
        <w:rPr>
          <w:rFonts w:hint="eastAsia" w:ascii="仿宋_GB2312" w:hAnsi="仿宋"/>
          <w:sz w:val="32"/>
          <w:szCs w:val="32"/>
          <w:lang w:val="en-US" w:eastAsia="zh-CN"/>
        </w:rPr>
        <w:t>2</w:t>
      </w:r>
      <w:r>
        <w:rPr>
          <w:rFonts w:hint="eastAsia" w:ascii="仿宋_GB2312" w:hAnsi="仿宋" w:eastAsia="仿宋_GB2312"/>
          <w:sz w:val="32"/>
          <w:szCs w:val="32"/>
        </w:rPr>
        <w:t>年预算增加</w:t>
      </w:r>
      <w:r>
        <w:rPr>
          <w:rFonts w:hint="eastAsia" w:ascii="仿宋_GB2312" w:hAnsi="仿宋"/>
          <w:sz w:val="32"/>
          <w:szCs w:val="32"/>
          <w:lang w:val="en-US" w:eastAsia="zh-CN"/>
        </w:rPr>
        <w:t>3.21</w:t>
      </w:r>
      <w:r>
        <w:rPr>
          <w:rFonts w:hint="eastAsia" w:ascii="仿宋_GB2312" w:hAnsi="仿宋" w:eastAsia="仿宋_GB2312"/>
          <w:sz w:val="32"/>
          <w:szCs w:val="32"/>
        </w:rPr>
        <w:t>万元，增长原因主要是202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b/>
          <w:bCs/>
          <w:sz w:val="32"/>
          <w:szCs w:val="32"/>
          <w:lang w:val="en-US" w:eastAsia="zh-CN"/>
        </w:rPr>
        <w:t>7</w:t>
      </w:r>
      <w:r>
        <w:rPr>
          <w:rFonts w:hint="eastAsia" w:ascii="仿宋_GB2312" w:hAnsi="仿宋" w:eastAsia="仿宋_GB2312"/>
          <w:b/>
          <w:bCs/>
          <w:sz w:val="32"/>
          <w:szCs w:val="32"/>
        </w:rPr>
        <w:t>.</w:t>
      </w:r>
      <w:r>
        <w:rPr>
          <w:rFonts w:ascii="仿宋_GB2312" w:hAnsi="仿宋" w:eastAsia="仿宋_GB2312"/>
          <w:b/>
          <w:bCs/>
          <w:sz w:val="32"/>
          <w:szCs w:val="32"/>
        </w:rPr>
        <w:t>住房保障支出（类）住房改革支出（款）住房公积金（项）</w:t>
      </w:r>
      <w:r>
        <w:rPr>
          <w:rFonts w:ascii="仿宋_GB2312" w:hAnsi="仿宋" w:eastAsia="仿宋_GB2312"/>
          <w:sz w:val="32"/>
          <w:szCs w:val="32"/>
        </w:rPr>
        <w:t>202</w:t>
      </w:r>
      <w:r>
        <w:rPr>
          <w:rFonts w:hint="eastAsia" w:ascii="仿宋_GB2312" w:hAnsi="仿宋"/>
          <w:sz w:val="32"/>
          <w:szCs w:val="32"/>
          <w:lang w:val="en-US" w:eastAsia="zh-CN"/>
        </w:rPr>
        <w:t>3</w:t>
      </w:r>
      <w:r>
        <w:rPr>
          <w:rFonts w:ascii="仿宋_GB2312" w:hAnsi="仿宋" w:eastAsia="仿宋_GB2312"/>
          <w:sz w:val="32"/>
          <w:szCs w:val="32"/>
        </w:rPr>
        <w:t>年预算</w:t>
      </w:r>
      <w:r>
        <w:rPr>
          <w:rFonts w:hint="eastAsia" w:ascii="仿宋_GB2312" w:hAnsi="仿宋"/>
          <w:sz w:val="32"/>
          <w:szCs w:val="32"/>
          <w:lang w:val="en-US" w:eastAsia="zh-CN"/>
        </w:rPr>
        <w:t>7.90</w:t>
      </w:r>
      <w:r>
        <w:rPr>
          <w:rFonts w:ascii="仿宋_GB2312" w:hAnsi="仿宋" w:eastAsia="仿宋_GB2312"/>
          <w:sz w:val="32"/>
          <w:szCs w:val="32"/>
        </w:rPr>
        <w:t>万元，比202</w:t>
      </w:r>
      <w:r>
        <w:rPr>
          <w:rFonts w:hint="eastAsia" w:ascii="仿宋_GB2312" w:hAnsi="仿宋"/>
          <w:sz w:val="32"/>
          <w:szCs w:val="32"/>
          <w:lang w:val="en-US" w:eastAsia="zh-CN"/>
        </w:rPr>
        <w:t>2</w:t>
      </w:r>
      <w:r>
        <w:rPr>
          <w:rFonts w:ascii="仿宋_GB2312" w:hAnsi="仿宋" w:eastAsia="仿宋_GB2312"/>
          <w:sz w:val="32"/>
          <w:szCs w:val="32"/>
        </w:rPr>
        <w:t>年预算增加</w:t>
      </w:r>
      <w:r>
        <w:rPr>
          <w:rFonts w:hint="eastAsia" w:ascii="仿宋_GB2312" w:hAnsi="仿宋"/>
          <w:sz w:val="32"/>
          <w:szCs w:val="32"/>
          <w:lang w:val="en-US" w:eastAsia="zh-CN"/>
        </w:rPr>
        <w:t>7.90</w:t>
      </w:r>
      <w:r>
        <w:rPr>
          <w:rFonts w:ascii="仿宋_GB2312" w:hAnsi="仿宋" w:eastAsia="仿宋_GB2312"/>
          <w:sz w:val="32"/>
          <w:szCs w:val="32"/>
        </w:rPr>
        <w:t>万元，</w:t>
      </w:r>
      <w:r>
        <w:rPr>
          <w:rFonts w:hint="eastAsia" w:ascii="仿宋_GB2312" w:hAnsi="仿宋"/>
          <w:sz w:val="32"/>
          <w:szCs w:val="32"/>
          <w:lang w:eastAsia="zh-CN"/>
        </w:rPr>
        <w:t>增长</w:t>
      </w:r>
      <w:r>
        <w:rPr>
          <w:rFonts w:ascii="仿宋_GB2312" w:hAnsi="仿宋" w:eastAsia="仿宋_GB2312"/>
          <w:sz w:val="32"/>
          <w:szCs w:val="32"/>
        </w:rPr>
        <w:t>原因主要是</w:t>
      </w:r>
      <w:r>
        <w:rPr>
          <w:rFonts w:hint="eastAsia" w:ascii="仿宋_GB2312" w:hAnsi="仿宋" w:eastAsia="仿宋_GB2312"/>
          <w:sz w:val="32"/>
          <w:szCs w:val="32"/>
        </w:rPr>
        <w:t>202</w:t>
      </w:r>
      <w:r>
        <w:rPr>
          <w:rFonts w:hint="eastAsia" w:ascii="仿宋_GB2312" w:hAnsi="仿宋"/>
          <w:sz w:val="32"/>
          <w:szCs w:val="32"/>
          <w:lang w:val="en-US" w:eastAsia="zh-CN"/>
        </w:rPr>
        <w:t>3</w:t>
      </w:r>
      <w:r>
        <w:rPr>
          <w:rFonts w:hint="eastAsia" w:ascii="仿宋_GB2312" w:hAnsi="仿宋" w:eastAsia="仿宋_GB2312"/>
          <w:sz w:val="32"/>
          <w:szCs w:val="32"/>
        </w:rPr>
        <w:t>年预算编制口径相比202</w:t>
      </w:r>
      <w:r>
        <w:rPr>
          <w:rFonts w:hint="eastAsia" w:ascii="仿宋_GB2312" w:hAnsi="仿宋"/>
          <w:sz w:val="32"/>
          <w:szCs w:val="32"/>
          <w:lang w:val="en-US" w:eastAsia="zh-CN"/>
        </w:rPr>
        <w:t>2</w:t>
      </w:r>
      <w:r>
        <w:rPr>
          <w:rFonts w:hint="eastAsia" w:ascii="仿宋_GB2312" w:hAnsi="仿宋" w:eastAsia="仿宋_GB2312"/>
          <w:sz w:val="32"/>
          <w:szCs w:val="32"/>
        </w:rPr>
        <w:t>年预算进行了调整。</w:t>
      </w:r>
    </w:p>
    <w:p>
      <w:pPr>
        <w:pStyle w:val="5"/>
        <w:adjustRightInd w:val="0"/>
        <w:snapToGrid w:val="0"/>
        <w:spacing w:line="560" w:lineRule="exact"/>
        <w:ind w:firstLine="640" w:firstLineChars="200"/>
        <w:rPr>
          <w:rFonts w:ascii="TimesNewRoman" w:hAnsi="TimesNewRoman" w:eastAsia="黑体" w:cs="TimesNewRoman"/>
        </w:rPr>
      </w:pPr>
      <w:r>
        <w:rPr>
          <w:rFonts w:ascii="TimesNewRoman" w:hAnsi="TimesNewRoman" w:eastAsia="黑体" w:cs="TimesNewRoman"/>
          <w:sz w:val="32"/>
          <w:szCs w:val="32"/>
        </w:rPr>
        <w:t>六、关于2023年一般公共预算基本支出表的说明</w:t>
      </w:r>
    </w:p>
    <w:p>
      <w:pPr>
        <w:spacing w:line="560" w:lineRule="exact"/>
        <w:ind w:firstLine="640" w:firstLineChars="200"/>
        <w:rPr>
          <w:rFonts w:ascii="TimesNewRoman" w:hAnsi="TimesNewRoman" w:cs="TimesNewRoman"/>
          <w:szCs w:val="32"/>
        </w:rPr>
      </w:pPr>
      <w:r>
        <w:rPr>
          <w:rFonts w:hint="eastAsia" w:ascii="TimesNewRoman" w:hAnsi="TimesNewRoman" w:cs="TimesNewRoman"/>
          <w:szCs w:val="32"/>
        </w:rPr>
        <w:t>宿松县</w:t>
      </w:r>
      <w:r>
        <w:rPr>
          <w:rFonts w:hint="eastAsia" w:ascii="TimesNewRoman" w:hAnsi="TimesNewRoman" w:cs="TimesNewRoman"/>
          <w:szCs w:val="32"/>
          <w:lang w:eastAsia="zh-CN"/>
        </w:rPr>
        <w:t>工商业联合会</w:t>
      </w:r>
      <w:r>
        <w:rPr>
          <w:rFonts w:ascii="TimesNewRoman" w:hAnsi="TimesNewRoman" w:cs="TimesNewRoman"/>
          <w:szCs w:val="32"/>
        </w:rPr>
        <w:t>2023年一般公共预算基本支出</w:t>
      </w:r>
      <w:r>
        <w:rPr>
          <w:rFonts w:hint="eastAsia" w:ascii="TimesNewRoman" w:hAnsi="TimesNewRoman" w:cs="TimesNewRoman"/>
          <w:szCs w:val="32"/>
          <w:lang w:val="en-US" w:eastAsia="zh-CN"/>
        </w:rPr>
        <w:t>110.54</w:t>
      </w:r>
      <w:r>
        <w:rPr>
          <w:rFonts w:ascii="TimesNewRoman" w:hAnsi="TimesNewRoman" w:cs="TimesNewRoman"/>
          <w:szCs w:val="32"/>
        </w:rPr>
        <w:t>万元，其中，人员经费</w:t>
      </w:r>
      <w:r>
        <w:rPr>
          <w:rFonts w:hint="eastAsia" w:ascii="TimesNewRoman" w:hAnsi="TimesNewRoman" w:cs="TimesNewRoman"/>
          <w:szCs w:val="32"/>
          <w:lang w:val="en-US" w:eastAsia="zh-CN"/>
        </w:rPr>
        <w:t>95.59</w:t>
      </w:r>
      <w:r>
        <w:rPr>
          <w:rFonts w:ascii="TimesNewRoman" w:hAnsi="TimesNewRoman" w:cs="TimesNewRoman"/>
          <w:szCs w:val="32"/>
        </w:rPr>
        <w:t>万元，公用经费</w:t>
      </w:r>
      <w:r>
        <w:rPr>
          <w:rFonts w:hint="eastAsia" w:ascii="TimesNewRoman" w:hAnsi="TimesNewRoman" w:cs="TimesNewRoman"/>
          <w:szCs w:val="32"/>
          <w:lang w:val="en-US" w:eastAsia="zh-CN"/>
        </w:rPr>
        <w:t>14.95</w:t>
      </w:r>
      <w:r>
        <w:rPr>
          <w:rFonts w:ascii="TimesNewRoman" w:hAnsi="TimesNewRoman" w:cs="TimesNewRoman"/>
          <w:szCs w:val="32"/>
        </w:rPr>
        <w:t>万元。</w:t>
      </w:r>
    </w:p>
    <w:p>
      <w:pPr>
        <w:spacing w:line="560" w:lineRule="exact"/>
        <w:ind w:firstLine="640" w:firstLineChars="200"/>
        <w:rPr>
          <w:rFonts w:ascii="TimesNewRoman" w:hAnsi="TimesNewRoman" w:cs="TimesNewRoman"/>
          <w:szCs w:val="32"/>
          <w:u w:val="none"/>
        </w:rPr>
      </w:pPr>
      <w:r>
        <w:rPr>
          <w:rFonts w:ascii="TimesNewRoman" w:hAnsi="TimesNewRoman" w:cs="TimesNewRoman"/>
          <w:szCs w:val="32"/>
        </w:rPr>
        <w:t>（一）人员经费</w:t>
      </w:r>
      <w:r>
        <w:rPr>
          <w:rFonts w:hint="eastAsia" w:ascii="TimesNewRoman" w:hAnsi="TimesNewRoman" w:cs="TimesNewRoman"/>
          <w:szCs w:val="32"/>
          <w:lang w:val="en-US" w:eastAsia="zh-CN"/>
        </w:rPr>
        <w:t>95.59</w:t>
      </w:r>
      <w:r>
        <w:rPr>
          <w:rFonts w:ascii="TimesNewRoman" w:hAnsi="TimesNewRoman" w:cs="TimesNewRoman"/>
          <w:szCs w:val="32"/>
        </w:rPr>
        <w:t>万元，主要包括</w:t>
      </w:r>
      <w:r>
        <w:rPr>
          <w:rFonts w:hint="eastAsia" w:ascii="TimesNewRoman" w:hAnsi="TimesNewRoman" w:cs="TimesNewRoman"/>
          <w:szCs w:val="32"/>
          <w:lang w:eastAsia="zh-CN"/>
        </w:rPr>
        <w:t>：</w:t>
      </w:r>
      <w:r>
        <w:rPr>
          <w:rFonts w:ascii="TimesNewRoman" w:hAnsi="TimesNewRoman" w:cs="TimesNewRoman"/>
          <w:szCs w:val="32"/>
          <w:u w:val="none"/>
        </w:rPr>
        <w:t>基本工资、津贴补贴、奖金、机关事业单位基本养老保险费、职业年金缴费、职工基本医疗保险缴费、其他社会保障缴费、住房公积金、退休费。</w:t>
      </w:r>
    </w:p>
    <w:p>
      <w:pPr>
        <w:spacing w:line="560" w:lineRule="exact"/>
        <w:ind w:firstLine="640" w:firstLineChars="200"/>
        <w:rPr>
          <w:rFonts w:hint="eastAsia" w:ascii="TimesNewRoman" w:hAnsi="TimesNewRoman" w:eastAsia="仿宋_GB2312" w:cs="TimesNewRoman"/>
          <w:szCs w:val="32"/>
          <w:u w:val="none"/>
          <w:lang w:eastAsia="zh-CN"/>
        </w:rPr>
      </w:pPr>
      <w:r>
        <w:rPr>
          <w:rFonts w:ascii="TimesNewRoman" w:hAnsi="TimesNewRoman" w:cs="TimesNewRoman"/>
          <w:szCs w:val="32"/>
          <w:u w:val="none"/>
        </w:rPr>
        <w:t>（二）公用经费</w:t>
      </w:r>
      <w:r>
        <w:rPr>
          <w:rFonts w:hint="eastAsia" w:ascii="TimesNewRoman" w:hAnsi="TimesNewRoman" w:cs="TimesNewRoman"/>
          <w:szCs w:val="32"/>
          <w:u w:val="none"/>
          <w:lang w:val="en-US" w:eastAsia="zh-CN"/>
        </w:rPr>
        <w:t>14.95</w:t>
      </w:r>
      <w:r>
        <w:rPr>
          <w:rFonts w:ascii="TimesNewRoman" w:hAnsi="TimesNewRoman" w:cs="TimesNewRoman"/>
          <w:szCs w:val="32"/>
          <w:u w:val="none"/>
        </w:rPr>
        <w:t>万元，主要包括：办公费、水费、电费、邮电费、物业管理费、差旅费、维修（护）费、租公务接待费、劳务费、委托业务费、工会经费、其他交通费用、其他商品服务支出、办公设备购置</w:t>
      </w:r>
      <w:r>
        <w:rPr>
          <w:rFonts w:hint="eastAsia" w:ascii="TimesNewRoman" w:hAnsi="TimesNewRoman" w:cs="TimesNewRoman"/>
          <w:szCs w:val="32"/>
          <w:u w:val="none"/>
          <w:lang w:eastAsia="zh-CN"/>
        </w:rPr>
        <w:t>。</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七、关于2023年政府性基金预算支出表的说明</w:t>
      </w:r>
    </w:p>
    <w:p>
      <w:pPr>
        <w:pStyle w:val="5"/>
        <w:adjustRightInd w:val="0"/>
        <w:snapToGrid w:val="0"/>
        <w:spacing w:line="560" w:lineRule="exact"/>
        <w:ind w:firstLine="480" w:firstLineChars="15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2023年没有政府性基金预算拨款收入，也没有使用政府性基金预算拨款安排的支出。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八、关于2023年国有资本经营预算支出表的说明</w:t>
      </w:r>
    </w:p>
    <w:p>
      <w:pPr>
        <w:pStyle w:val="5"/>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2023年没有国有资本经营预算拨款收入，也没有使用国有资本经营预算拨款安排的支出。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九、关于2023年项目支出表的说明</w:t>
      </w:r>
    </w:p>
    <w:p>
      <w:pPr>
        <w:pStyle w:val="5"/>
        <w:adjustRightInd w:val="0"/>
        <w:snapToGrid w:val="0"/>
        <w:spacing w:line="560" w:lineRule="exact"/>
        <w:ind w:firstLine="640" w:firstLineChars="200"/>
        <w:rPr>
          <w:rFonts w:hint="eastAsia" w:ascii="TimesNewRoman" w:hAnsi="TimesNewRoman" w:eastAsia="仿宋_GB2312" w:cs="TimesNewRoman"/>
          <w:sz w:val="32"/>
          <w:szCs w:val="32"/>
          <w:lang w:eastAsia="zh-CN"/>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2023年预算共安排项目支出</w:t>
      </w:r>
      <w:r>
        <w:rPr>
          <w:rFonts w:hint="eastAsia" w:ascii="TimesNewRoman" w:hAnsi="TimesNewRoman" w:eastAsia="仿宋_GB2312" w:cs="TimesNewRoman"/>
          <w:sz w:val="32"/>
          <w:szCs w:val="32"/>
          <w:lang w:val="en-US" w:eastAsia="zh-CN"/>
        </w:rPr>
        <w:t>49.00</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10.00</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25.6</w:t>
      </w:r>
      <w:r>
        <w:rPr>
          <w:rFonts w:ascii="TimesNewRoman" w:hAnsi="TimesNewRoman" w:eastAsia="仿宋_GB2312" w:cs="TimesNewRoman"/>
          <w:sz w:val="32"/>
          <w:szCs w:val="32"/>
        </w:rPr>
        <w:t>%，增长原因主要是</w:t>
      </w:r>
      <w:r>
        <w:rPr>
          <w:rFonts w:hint="eastAsia" w:ascii="TimesNewRoman" w:hAnsi="TimesNewRoman" w:eastAsia="仿宋_GB2312" w:cs="TimesNewRoman"/>
          <w:sz w:val="32"/>
          <w:szCs w:val="32"/>
          <w:lang w:eastAsia="zh-CN"/>
        </w:rPr>
        <w:t>增加了工商联专项经费</w:t>
      </w:r>
      <w:r>
        <w:rPr>
          <w:rFonts w:ascii="TimesNewRoman" w:hAnsi="TimesNewRoman" w:eastAsia="仿宋_GB2312" w:cs="TimesNewRoman"/>
          <w:sz w:val="32"/>
          <w:szCs w:val="32"/>
        </w:rPr>
        <w:t>。主要包括：本年财政拨款安排</w:t>
      </w:r>
      <w:r>
        <w:rPr>
          <w:rFonts w:hint="eastAsia" w:ascii="TimesNewRoman" w:hAnsi="TimesNewRoman" w:eastAsia="仿宋_GB2312" w:cs="TimesNewRoman"/>
          <w:sz w:val="32"/>
          <w:szCs w:val="32"/>
          <w:lang w:val="en-US" w:eastAsia="zh-CN"/>
        </w:rPr>
        <w:t>49.00</w:t>
      </w:r>
      <w:r>
        <w:rPr>
          <w:rFonts w:ascii="TimesNewRoman" w:hAnsi="TimesNewRoman" w:eastAsia="仿宋_GB2312" w:cs="TimesNewRoman"/>
          <w:sz w:val="32"/>
          <w:szCs w:val="32"/>
        </w:rPr>
        <w:t>万元（其中，一般公共预算拨款安排</w:t>
      </w:r>
      <w:r>
        <w:rPr>
          <w:rFonts w:hint="eastAsia" w:ascii="TimesNewRoman" w:hAnsi="TimesNewRoman" w:eastAsia="仿宋_GB2312" w:cs="TimesNewRoman"/>
          <w:sz w:val="32"/>
          <w:szCs w:val="32"/>
          <w:lang w:val="en-US" w:eastAsia="zh-CN"/>
        </w:rPr>
        <w:t>49.00</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w:t>
      </w:r>
    </w:p>
    <w:p>
      <w:pPr>
        <w:pStyle w:val="5"/>
        <w:adjustRightInd w:val="0"/>
        <w:snapToGrid w:val="0"/>
        <w:spacing w:line="560" w:lineRule="exact"/>
        <w:ind w:firstLine="640" w:firstLineChars="200"/>
        <w:rPr>
          <w:rFonts w:ascii="TimesNewRoman" w:hAnsi="TimesNewRoman" w:eastAsia="楷体_GB2312" w:cs="TimesNewRoman"/>
          <w:sz w:val="32"/>
          <w:szCs w:val="32"/>
        </w:rPr>
      </w:pPr>
      <w:r>
        <w:rPr>
          <w:rFonts w:ascii="TimesNewRoman" w:hAnsi="TimesNewRoman" w:eastAsia="黑体" w:cs="TimesNewRoman"/>
          <w:sz w:val="32"/>
          <w:szCs w:val="32"/>
        </w:rPr>
        <w:t>十、关于2023年政府采购支出表的说明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2023年预算安排政府采购支出</w:t>
      </w:r>
      <w:r>
        <w:rPr>
          <w:rFonts w:hint="eastAsia" w:ascii="TimesNewRoman" w:hAnsi="TimesNewRoman" w:eastAsia="仿宋_GB2312" w:cs="TimesNewRoman"/>
          <w:sz w:val="32"/>
          <w:szCs w:val="32"/>
          <w:lang w:val="en-US" w:eastAsia="zh-CN"/>
        </w:rPr>
        <w:t>1.00</w:t>
      </w:r>
      <w:r>
        <w:rPr>
          <w:rFonts w:ascii="TimesNewRoman" w:hAnsi="TimesNewRoman" w:eastAsia="仿宋_GB2312" w:cs="TimesNewRoman"/>
          <w:sz w:val="32"/>
          <w:szCs w:val="32"/>
        </w:rPr>
        <w:t>万元，比2022年预算增加</w:t>
      </w:r>
      <w:r>
        <w:rPr>
          <w:rFonts w:hint="eastAsia" w:ascii="TimesNewRoman" w:hAnsi="TimesNewRoman" w:eastAsia="仿宋_GB2312" w:cs="TimesNewRoman"/>
          <w:sz w:val="32"/>
          <w:szCs w:val="32"/>
          <w:lang w:val="en-US" w:eastAsia="zh-CN"/>
        </w:rPr>
        <w:t>1.00</w:t>
      </w:r>
      <w:r>
        <w:rPr>
          <w:rFonts w:ascii="TimesNewRoman" w:hAnsi="TimesNewRoman" w:eastAsia="仿宋_GB2312" w:cs="TimesNewRoman"/>
          <w:sz w:val="32"/>
          <w:szCs w:val="32"/>
        </w:rPr>
        <w:t>万元，增长原因主要是</w:t>
      </w:r>
      <w:r>
        <w:rPr>
          <w:rFonts w:hint="eastAsia" w:ascii="TimesNewRoman" w:hAnsi="TimesNewRoman" w:eastAsia="仿宋_GB2312" w:cs="TimesNewRoman"/>
          <w:sz w:val="32"/>
          <w:szCs w:val="32"/>
          <w:lang w:val="en-US" w:eastAsia="zh-CN"/>
        </w:rPr>
        <w:t>2022年未做预算采购安排</w:t>
      </w:r>
      <w:r>
        <w:rPr>
          <w:rFonts w:ascii="TimesNewRoman" w:hAnsi="TimesNewRoman" w:eastAsia="仿宋_GB2312" w:cs="TimesNewRoman"/>
          <w:sz w:val="32"/>
          <w:szCs w:val="32"/>
        </w:rPr>
        <w:t>。其中，一般公共预算安排</w:t>
      </w:r>
      <w:r>
        <w:rPr>
          <w:rFonts w:hint="eastAsia" w:ascii="TimesNewRoman" w:hAnsi="TimesNewRoman" w:eastAsia="仿宋_GB2312" w:cs="TimesNewRoman"/>
          <w:sz w:val="32"/>
          <w:szCs w:val="32"/>
          <w:lang w:val="en-US" w:eastAsia="zh-CN"/>
        </w:rPr>
        <w:t>1.00</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100</w:t>
      </w:r>
      <w:r>
        <w:rPr>
          <w:rFonts w:ascii="TimesNewRoman" w:hAnsi="TimesNewRoman" w:eastAsia="仿宋_GB2312" w:cs="TimesNewRoman"/>
          <w:sz w:val="32"/>
          <w:szCs w:val="32"/>
        </w:rPr>
        <w:t>%。</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十一、关于2023年政府购买服务支出表的说明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宿松县</w:t>
      </w:r>
      <w:r>
        <w:rPr>
          <w:rFonts w:hint="eastAsia" w:ascii="TimesNewRoman" w:hAnsi="TimesNewRoman" w:eastAsia="仿宋_GB2312" w:cs="TimesNewRoman"/>
          <w:sz w:val="32"/>
          <w:szCs w:val="32"/>
          <w:lang w:eastAsia="zh-CN"/>
        </w:rPr>
        <w:t>工商业联合会</w:t>
      </w:r>
      <w:r>
        <w:rPr>
          <w:rFonts w:ascii="TimesNewRoman" w:hAnsi="TimesNewRoman" w:eastAsia="仿宋_GB2312" w:cs="TimesNewRoman"/>
          <w:sz w:val="32"/>
          <w:szCs w:val="32"/>
        </w:rPr>
        <w:t>2023年没有安排政府购买服务支出。</w:t>
      </w:r>
    </w:p>
    <w:p>
      <w:pPr>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十二、其他重要事项情况说明</w:t>
      </w:r>
    </w:p>
    <w:p>
      <w:pPr>
        <w:adjustRightInd w:val="0"/>
        <w:snapToGrid w:val="0"/>
        <w:spacing w:line="580" w:lineRule="exact"/>
        <w:ind w:firstLine="643" w:firstLineChars="200"/>
        <w:rPr>
          <w:rFonts w:hint="eastAsia" w:ascii="仿宋_GB2312" w:hAnsi="楷体" w:eastAsia="仿宋_GB2312"/>
          <w:b/>
          <w:sz w:val="32"/>
          <w:szCs w:val="32"/>
        </w:rPr>
      </w:pPr>
      <w:r>
        <w:rPr>
          <w:rFonts w:hint="eastAsia" w:ascii="TimesNewRoman" w:hAnsi="TimesNewRoman" w:cs="TimesNewRoman"/>
          <w:b/>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eastAsia="zh-CN"/>
        </w:rPr>
        <w:t>商调会专项工作经费</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（1）项目概述。商调会专职调解员生活补贴、案件补贴及办公费用等</w:t>
      </w:r>
      <w:r>
        <w:rPr>
          <w:rFonts w:hint="eastAsia" w:ascii="仿宋_GB2312" w:hAnsi="楷体" w:eastAsia="仿宋_GB2312"/>
          <w:sz w:val="32"/>
          <w:szCs w:val="32"/>
          <w:lang w:eastAsia="zh-CN"/>
        </w:rPr>
        <w:t>。</w:t>
      </w:r>
      <w:bookmarkStart w:id="0" w:name="_GoBack"/>
      <w:bookmarkEnd w:id="0"/>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每年预算安排</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宿松县工商业联合会</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3</w:t>
      </w:r>
      <w:r>
        <w:rPr>
          <w:rFonts w:hint="eastAsia" w:ascii="仿宋_GB2312" w:hAnsi="仿宋" w:eastAsia="仿宋_GB2312"/>
          <w:sz w:val="32"/>
          <w:szCs w:val="32"/>
          <w:lang w:val="en-US" w:eastAsia="zh-CN"/>
        </w:rPr>
        <w:t>年1月-202</w:t>
      </w:r>
      <w:r>
        <w:rPr>
          <w:rFonts w:hint="eastAsia" w:ascii="仿宋_GB2312" w:hAnsi="仿宋"/>
          <w:sz w:val="32"/>
          <w:szCs w:val="32"/>
          <w:lang w:val="en-US" w:eastAsia="zh-CN"/>
        </w:rPr>
        <w:t>3</w:t>
      </w:r>
      <w:r>
        <w:rPr>
          <w:rFonts w:hint="eastAsia" w:ascii="仿宋_GB2312" w:hAnsi="仿宋" w:eastAsia="仿宋_GB2312"/>
          <w:sz w:val="32"/>
          <w:szCs w:val="32"/>
          <w:lang w:val="en-US" w:eastAsia="zh-CN"/>
        </w:rPr>
        <w:t>年12月</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（5）项目内容。商调会专职调解员生活补贴、案件补贴及办公费用等</w:t>
      </w:r>
      <w:r>
        <w:rPr>
          <w:rFonts w:hint="eastAsia" w:ascii="仿宋_GB2312" w:hAnsi="楷体" w:eastAsia="仿宋_GB2312"/>
          <w:sz w:val="32"/>
          <w:szCs w:val="32"/>
          <w:lang w:eastAsia="zh-CN"/>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sz w:val="32"/>
          <w:szCs w:val="32"/>
          <w:lang w:val="en-US" w:eastAsia="zh-CN"/>
        </w:rPr>
        <w:t>10.00</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安排商调会专职调解员生活补贴、案件补贴及办公费用等。积极引导企业家参政议政，助力优化营商环境，完善工商联直通车、民营经济运行调查机制，常态化开展民营企业运行情况季度调查。深化企业服务，推进调解维权工作。切实为</w:t>
      </w:r>
      <w:r>
        <w:rPr>
          <w:rFonts w:hint="eastAsia" w:ascii="仿宋_GB2312" w:hAnsi="楷体"/>
          <w:sz w:val="32"/>
          <w:szCs w:val="32"/>
          <w:lang w:val="en-US" w:eastAsia="zh-CN"/>
        </w:rPr>
        <w:t>民营</w:t>
      </w:r>
      <w:r>
        <w:rPr>
          <w:rFonts w:hint="eastAsia" w:ascii="仿宋_GB2312" w:hAnsi="楷体" w:eastAsia="仿宋_GB2312"/>
          <w:sz w:val="32"/>
          <w:szCs w:val="32"/>
        </w:rPr>
        <w:t>企业排忧解难，切实做好做实企业维权及法律服务工作</w:t>
      </w:r>
      <w:r>
        <w:rPr>
          <w:rFonts w:hint="eastAsia" w:ascii="仿宋_GB2312" w:hAnsi="楷体"/>
          <w:sz w:val="32"/>
          <w:szCs w:val="32"/>
          <w:lang w:eastAsia="zh-CN"/>
        </w:rPr>
        <w:t>。</w:t>
      </w: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szCs w:val="32"/>
        </w:rPr>
      </w:pPr>
    </w:p>
    <w:p>
      <w:pPr>
        <w:adjustRightInd w:val="0"/>
        <w:snapToGrid w:val="0"/>
        <w:spacing w:line="600" w:lineRule="exact"/>
        <w:ind w:firstLine="640" w:firstLineChars="200"/>
        <w:rPr>
          <w:rFonts w:ascii="仿宋_GB2312" w:hAnsi="楷体"/>
          <w:szCs w:val="32"/>
        </w:rPr>
      </w:pPr>
    </w:p>
    <w:p>
      <w:pPr>
        <w:adjustRightInd w:val="0"/>
        <w:snapToGrid w:val="0"/>
        <w:spacing w:line="600" w:lineRule="exact"/>
        <w:rPr>
          <w:rFonts w:ascii="仿宋_GB2312" w:hAnsi="楷体"/>
          <w:szCs w:val="32"/>
        </w:rPr>
      </w:pPr>
    </w:p>
    <w:p>
      <w:pPr>
        <w:adjustRightInd w:val="0"/>
        <w:snapToGrid w:val="0"/>
        <w:spacing w:line="600" w:lineRule="exact"/>
        <w:rPr>
          <w:rFonts w:ascii="仿宋_GB2312" w:hAnsi="楷体"/>
          <w:szCs w:val="32"/>
        </w:rPr>
      </w:pP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4020"/>
        <w:gridCol w:w="70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项目名称</w:t>
            </w:r>
          </w:p>
        </w:tc>
        <w:tc>
          <w:tcPr>
            <w:tcW w:w="7577" w:type="dxa"/>
            <w:gridSpan w:val="4"/>
            <w:tcBorders>
              <w:tl2br w:val="nil"/>
              <w:tr2bl w:val="nil"/>
            </w:tcBorders>
            <w:noWrap/>
            <w:vAlign w:val="center"/>
          </w:tcPr>
          <w:p>
            <w:pPr>
              <w:jc w:val="center"/>
              <w:rPr>
                <w:rFonts w:ascii="宋体" w:cs="宋体"/>
                <w:sz w:val="20"/>
              </w:rPr>
            </w:pPr>
            <w:r>
              <w:rPr>
                <w:rFonts w:hint="eastAsia"/>
                <w:color w:val="000000"/>
                <w:sz w:val="20"/>
                <w:szCs w:val="20"/>
                <w:lang w:eastAsia="zh-CN"/>
              </w:rPr>
              <w:t>商调会专项工作经费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主管部门   及代码</w:t>
            </w:r>
          </w:p>
        </w:tc>
        <w:tc>
          <w:tcPr>
            <w:tcW w:w="4497" w:type="dxa"/>
            <w:gridSpan w:val="2"/>
            <w:tcBorders>
              <w:tl2br w:val="nil"/>
              <w:tr2bl w:val="nil"/>
            </w:tcBorders>
            <w:noWrap/>
            <w:vAlign w:val="center"/>
          </w:tcPr>
          <w:p>
            <w:pPr>
              <w:jc w:val="center"/>
              <w:rPr>
                <w:rFonts w:ascii="宋体" w:cs="宋体"/>
                <w:sz w:val="20"/>
              </w:rPr>
            </w:pPr>
            <w:r>
              <w:rPr>
                <w:rFonts w:hint="eastAsia"/>
                <w:color w:val="000000"/>
                <w:sz w:val="20"/>
                <w:szCs w:val="20"/>
              </w:rPr>
              <w:t>宿松县</w:t>
            </w:r>
            <w:r>
              <w:rPr>
                <w:rFonts w:hint="eastAsia"/>
                <w:color w:val="000000"/>
                <w:sz w:val="20"/>
                <w:szCs w:val="20"/>
                <w:lang w:eastAsia="zh-CN"/>
              </w:rPr>
              <w:t>工商业联合会</w:t>
            </w:r>
          </w:p>
        </w:tc>
        <w:tc>
          <w:tcPr>
            <w:tcW w:w="700"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实施单位</w:t>
            </w:r>
          </w:p>
        </w:tc>
        <w:tc>
          <w:tcPr>
            <w:tcW w:w="2380" w:type="dxa"/>
            <w:tcBorders>
              <w:tl2br w:val="nil"/>
              <w:tr2bl w:val="nil"/>
            </w:tcBorders>
            <w:noWrap/>
            <w:vAlign w:val="center"/>
          </w:tcPr>
          <w:p>
            <w:pPr>
              <w:jc w:val="center"/>
            </w:pPr>
            <w:r>
              <w:rPr>
                <w:rFonts w:hint="eastAsia"/>
                <w:color w:val="000000"/>
                <w:sz w:val="20"/>
                <w:szCs w:val="20"/>
              </w:rPr>
              <w:t>宿松县</w:t>
            </w:r>
            <w:r>
              <w:rPr>
                <w:rFonts w:hint="eastAsia"/>
                <w:color w:val="000000"/>
                <w:sz w:val="20"/>
                <w:szCs w:val="20"/>
                <w:lang w:eastAsia="zh-CN"/>
              </w:rPr>
              <w:t>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项目来源</w:t>
            </w:r>
          </w:p>
        </w:tc>
        <w:tc>
          <w:tcPr>
            <w:tcW w:w="4497" w:type="dxa"/>
            <w:gridSpan w:val="2"/>
            <w:tcBorders>
              <w:tl2br w:val="nil"/>
              <w:tr2bl w:val="nil"/>
            </w:tcBorders>
            <w:noWrap/>
            <w:vAlign w:val="center"/>
          </w:tcPr>
          <w:p>
            <w:pPr>
              <w:jc w:val="center"/>
              <w:rPr>
                <w:rFonts w:hint="eastAsia" w:ascii="宋体" w:eastAsia="仿宋_GB2312" w:cs="宋体"/>
                <w:sz w:val="20"/>
                <w:lang w:eastAsia="zh-CN"/>
              </w:rPr>
            </w:pPr>
            <w:r>
              <w:rPr>
                <w:rFonts w:hint="eastAsia" w:ascii="宋体" w:cs="宋体"/>
                <w:sz w:val="20"/>
                <w:lang w:eastAsia="zh-CN"/>
              </w:rPr>
              <w:t>财政资金</w:t>
            </w:r>
          </w:p>
        </w:tc>
        <w:tc>
          <w:tcPr>
            <w:tcW w:w="700" w:type="dxa"/>
            <w:tcBorders>
              <w:tl2br w:val="nil"/>
              <w:tr2bl w:val="nil"/>
            </w:tcBorders>
            <w:noWrap/>
            <w:vAlign w:val="center"/>
          </w:tcPr>
          <w:p>
            <w:pPr>
              <w:widowControl/>
              <w:jc w:val="center"/>
              <w:textAlignment w:val="center"/>
            </w:pPr>
            <w:r>
              <w:rPr>
                <w:rFonts w:hint="eastAsia" w:ascii="宋体" w:hAnsi="宋体" w:eastAsia="宋体" w:cs="宋体"/>
                <w:color w:val="000000"/>
                <w:kern w:val="0"/>
                <w:sz w:val="20"/>
              </w:rPr>
              <w:t>项目期</w:t>
            </w:r>
          </w:p>
        </w:tc>
        <w:tc>
          <w:tcPr>
            <w:tcW w:w="2380" w:type="dxa"/>
            <w:tcBorders>
              <w:tl2br w:val="nil"/>
              <w:tr2bl w:val="nil"/>
            </w:tcBorders>
            <w:noWrap/>
            <w:vAlign w:val="center"/>
          </w:tcPr>
          <w:p>
            <w:pPr>
              <w:jc w:val="center"/>
            </w:pPr>
            <w:r>
              <w:rPr>
                <w:rFonts w:hint="eastAsia" w:ascii="宋体" w:hAnsi="宋体" w:eastAsia="宋体" w:cs="宋体"/>
                <w:color w:val="000000"/>
                <w:kern w:val="0"/>
                <w:sz w:val="20"/>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ign w:val="center"/>
          </w:tcPr>
          <w:p>
            <w:pPr>
              <w:widowControl/>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rPr>
              <w:t>（万元）</w:t>
            </w:r>
          </w:p>
        </w:tc>
        <w:tc>
          <w:tcPr>
            <w:tcW w:w="4497"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年度资金总额：</w:t>
            </w:r>
          </w:p>
        </w:tc>
        <w:tc>
          <w:tcPr>
            <w:tcW w:w="3080"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497"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其中：财政拨款</w:t>
            </w:r>
          </w:p>
        </w:tc>
        <w:tc>
          <w:tcPr>
            <w:tcW w:w="3080" w:type="dxa"/>
            <w:gridSpan w:val="2"/>
            <w:tcBorders>
              <w:tl2br w:val="nil"/>
              <w:tr2bl w:val="nil"/>
            </w:tcBorders>
            <w:noWrap/>
            <w:vAlign w:val="center"/>
          </w:tcPr>
          <w:p>
            <w:pPr>
              <w:jc w:val="center"/>
              <w:rPr>
                <w:rFonts w:hint="default" w:ascii="宋体" w:eastAsia="仿宋_GB2312" w:cs="宋体"/>
                <w:sz w:val="20"/>
                <w:lang w:val="en-US" w:eastAsia="zh-CN"/>
              </w:rPr>
            </w:pPr>
            <w:r>
              <w:rPr>
                <w:rFonts w:hint="eastAsia" w:ascii="宋体" w:cs="宋体"/>
                <w:sz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497"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上年结转</w:t>
            </w: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ign w:val="center"/>
          </w:tcPr>
          <w:p>
            <w:pPr>
              <w:jc w:val="center"/>
              <w:rPr>
                <w:rFonts w:ascii="宋体" w:cs="宋体"/>
                <w:sz w:val="20"/>
              </w:rPr>
            </w:pPr>
          </w:p>
        </w:tc>
        <w:tc>
          <w:tcPr>
            <w:tcW w:w="4497" w:type="dxa"/>
            <w:gridSpan w:val="2"/>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其他资金</w:t>
            </w:r>
          </w:p>
        </w:tc>
        <w:tc>
          <w:tcPr>
            <w:tcW w:w="3080" w:type="dxa"/>
            <w:gridSpan w:val="2"/>
            <w:tcBorders>
              <w:tl2br w:val="nil"/>
              <w:tr2bl w:val="nil"/>
            </w:tcBorders>
            <w:noWrap/>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目标</w:t>
            </w:r>
          </w:p>
        </w:tc>
        <w:tc>
          <w:tcPr>
            <w:tcW w:w="8582" w:type="dxa"/>
            <w:gridSpan w:val="6"/>
            <w:tcBorders>
              <w:tl2br w:val="nil"/>
              <w:tr2bl w:val="nil"/>
            </w:tcBorders>
            <w:noWrap/>
            <w:vAlign w:val="center"/>
          </w:tcPr>
          <w:p>
            <w:pPr>
              <w:adjustRightInd w:val="0"/>
              <w:snapToGrid w:val="0"/>
              <w:spacing w:line="600" w:lineRule="exact"/>
              <w:rPr>
                <w:rFonts w:hint="eastAsia" w:ascii="仿宋_GB2312" w:hAnsi="楷体" w:eastAsia="仿宋_GB2312"/>
                <w:sz w:val="32"/>
                <w:szCs w:val="32"/>
                <w:lang w:eastAsia="zh-CN"/>
              </w:rPr>
            </w:pPr>
            <w:r>
              <w:rPr>
                <w:rFonts w:hint="eastAsia"/>
                <w:sz w:val="20"/>
                <w:szCs w:val="20"/>
              </w:rPr>
              <w:t>商调会专职调解员生活补贴、案件补贴及办公费用等</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ign w:val="center"/>
          </w:tcPr>
          <w:p>
            <w:pPr>
              <w:widowControl/>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绩</w:t>
            </w:r>
          </w:p>
          <w:p>
            <w:pPr>
              <w:widowControl/>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效</w:t>
            </w:r>
          </w:p>
          <w:p>
            <w:pPr>
              <w:widowControl/>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指</w:t>
            </w:r>
          </w:p>
          <w:p>
            <w:pPr>
              <w:widowControl/>
              <w:jc w:val="center"/>
              <w:textAlignment w:val="center"/>
              <w:rPr>
                <w:rFonts w:ascii="宋体" w:cs="宋体"/>
                <w:sz w:val="20"/>
              </w:rPr>
            </w:pPr>
            <w:r>
              <w:rPr>
                <w:rFonts w:hint="eastAsia" w:ascii="宋体" w:hAnsi="宋体" w:eastAsia="宋体" w:cs="宋体"/>
                <w:color w:val="000000"/>
                <w:kern w:val="0"/>
                <w:sz w:val="20"/>
              </w:rPr>
              <w:t>标</w:t>
            </w:r>
          </w:p>
        </w:tc>
        <w:tc>
          <w:tcPr>
            <w:tcW w:w="723" w:type="dxa"/>
            <w:tcBorders>
              <w:tl2br w:val="nil"/>
              <w:tr2bl w:val="nil"/>
            </w:tcBorders>
            <w:noWrap/>
            <w:vAlign w:val="center"/>
          </w:tcPr>
          <w:p>
            <w:pPr>
              <w:widowControl/>
              <w:spacing w:line="200" w:lineRule="exact"/>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指标</w:t>
            </w:r>
          </w:p>
        </w:tc>
        <w:tc>
          <w:tcPr>
            <w:tcW w:w="759" w:type="dxa"/>
            <w:gridSpan w:val="2"/>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二级指标</w:t>
            </w:r>
          </w:p>
        </w:tc>
        <w:tc>
          <w:tcPr>
            <w:tcW w:w="4020" w:type="dxa"/>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三级指标</w:t>
            </w:r>
          </w:p>
        </w:tc>
        <w:tc>
          <w:tcPr>
            <w:tcW w:w="3080" w:type="dxa"/>
            <w:gridSpan w:val="2"/>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产出指标</w:t>
            </w: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数量指标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调解案件数</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rPr>
              <w:t>≥</w:t>
            </w:r>
            <w:r>
              <w:rPr>
                <w:rFonts w:hint="eastAsia"/>
                <w:sz w:val="20"/>
                <w:szCs w:val="20"/>
                <w:lang w:val="en-US" w:eastAsia="zh-CN"/>
              </w:rPr>
              <w:t>100</w:t>
            </w:r>
            <w:r>
              <w:rPr>
                <w:rFonts w:hint="eastAsia"/>
                <w:sz w:val="20"/>
                <w:szCs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质量指标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lang w:eastAsia="zh-CN"/>
              </w:rPr>
              <w:t>调解成功率</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rPr>
              <w:t>≥</w:t>
            </w:r>
            <w:r>
              <w:rPr>
                <w:rFonts w:hint="eastAsia"/>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时效指标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lang w:eastAsia="zh-CN"/>
              </w:rPr>
              <w:t>经费支出时效</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lang w:val="en-US" w:eastAsia="zh-CN"/>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成本指标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项目总成本控制</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lang w:val="en-US" w:eastAsia="zh-CN"/>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restart"/>
            <w:tcBorders>
              <w:tl2br w:val="nil"/>
              <w:tr2bl w:val="nil"/>
            </w:tcBorders>
            <w:noWrap/>
            <w:vAlign w:val="center"/>
          </w:tcPr>
          <w:p>
            <w:pPr>
              <w:widowControl/>
              <w:jc w:val="center"/>
              <w:textAlignment w:val="center"/>
              <w:rPr>
                <w:rFonts w:ascii="宋体" w:cs="宋体"/>
                <w:sz w:val="20"/>
              </w:rPr>
            </w:pPr>
            <w:r>
              <w:rPr>
                <w:rFonts w:hint="eastAsia" w:ascii="宋体" w:hAnsi="宋体" w:eastAsia="宋体" w:cs="宋体"/>
                <w:color w:val="000000"/>
                <w:kern w:val="0"/>
                <w:sz w:val="20"/>
              </w:rPr>
              <w:t>效益指标</w:t>
            </w: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经济效益指标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发挥财政资金杠杆作用的影响程度</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rPr>
              <w:t>≥</w:t>
            </w:r>
            <w:r>
              <w:rPr>
                <w:rFonts w:hint="eastAsia"/>
                <w:sz w:val="20"/>
                <w:szCs w:val="20"/>
                <w:lang w:val="en-US" w:eastAsia="zh-CN"/>
              </w:rPr>
              <w:t>95%</w:t>
            </w: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社会效益指标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r>
              <w:rPr>
                <w:rFonts w:hint="eastAsia"/>
                <w:sz w:val="20"/>
                <w:szCs w:val="20"/>
              </w:rPr>
              <w:t>对推动相关法律法规建设</w:t>
            </w:r>
            <w:r>
              <w:rPr>
                <w:rFonts w:hint="eastAsia"/>
                <w:sz w:val="20"/>
                <w:szCs w:val="20"/>
                <w:lang w:eastAsia="zh-CN"/>
              </w:rPr>
              <w:t>的影响</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rPr>
              <w:t>≥</w:t>
            </w:r>
            <w:r>
              <w:rPr>
                <w:rFonts w:hint="eastAsia"/>
                <w:sz w:val="20"/>
                <w:szCs w:val="20"/>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宋体" w:cs="宋体"/>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生态效益指标</w:t>
            </w:r>
          </w:p>
        </w:tc>
        <w:tc>
          <w:tcPr>
            <w:tcW w:w="4020" w:type="dxa"/>
            <w:tcBorders>
              <w:tl2br w:val="nil"/>
              <w:tr2bl w:val="nil"/>
            </w:tcBorders>
            <w:noWrap/>
            <w:vAlign w:val="center"/>
          </w:tcPr>
          <w:p>
            <w:pPr>
              <w:widowControl/>
              <w:jc w:val="left"/>
              <w:textAlignment w:val="center"/>
              <w:rPr>
                <w:rFonts w:ascii="宋体" w:cs="宋体"/>
                <w:sz w:val="20"/>
              </w:rPr>
            </w:pPr>
            <w:r>
              <w:rPr>
                <w:rFonts w:hint="eastAsia" w:ascii="宋体" w:hAnsi="宋体" w:eastAsia="宋体" w:cs="宋体"/>
                <w:color w:val="000000"/>
                <w:kern w:val="0"/>
                <w:sz w:val="20"/>
              </w:rPr>
              <w:t>指标1：</w:t>
            </w: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cs="宋体"/>
                <w:sz w:val="20"/>
              </w:rPr>
            </w:pPr>
          </w:p>
        </w:tc>
        <w:tc>
          <w:tcPr>
            <w:tcW w:w="4020" w:type="dxa"/>
            <w:tcBorders>
              <w:tl2br w:val="nil"/>
              <w:tr2bl w:val="nil"/>
            </w:tcBorders>
            <w:noWrap/>
            <w:vAlign w:val="center"/>
          </w:tcPr>
          <w:p>
            <w:pPr>
              <w:widowControl/>
              <w:jc w:val="left"/>
              <w:textAlignment w:val="center"/>
              <w:rPr>
                <w:rFonts w:ascii="汉仪中秀体简" w:hAnsi="汉仪中秀体简" w:eastAsia="汉仪中秀体简" w:cs="汉仪中秀体简"/>
                <w:color w:val="000000"/>
                <w:kern w:val="0"/>
                <w:sz w:val="20"/>
              </w:rPr>
            </w:pPr>
          </w:p>
        </w:tc>
        <w:tc>
          <w:tcPr>
            <w:tcW w:w="3080" w:type="dxa"/>
            <w:gridSpan w:val="2"/>
            <w:tcBorders>
              <w:tl2br w:val="nil"/>
              <w:tr2bl w:val="nil"/>
            </w:tcBorders>
            <w:noWrap/>
            <w:vAlign w:val="center"/>
          </w:tcPr>
          <w:p>
            <w:pPr>
              <w:widowControl/>
              <w:jc w:val="left"/>
              <w:textAlignment w:val="center"/>
              <w:rPr>
                <w:rFonts w:ascii="汉仪中秀体简" w:hAnsi="汉仪中秀体简" w:eastAsia="汉仪中秀体简" w:cs="汉仪中秀体简"/>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restart"/>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4020" w:type="dxa"/>
            <w:tcBorders>
              <w:tl2br w:val="nil"/>
              <w:tr2bl w:val="nil"/>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指标1：</w:t>
            </w: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ign w:val="center"/>
          </w:tcPr>
          <w:p>
            <w:pPr>
              <w:jc w:val="center"/>
              <w:rPr>
                <w:rFonts w:ascii="宋体" w:cs="宋体"/>
                <w:sz w:val="20"/>
              </w:rPr>
            </w:pPr>
          </w:p>
        </w:tc>
        <w:tc>
          <w:tcPr>
            <w:tcW w:w="723" w:type="dxa"/>
            <w:vMerge w:val="continue"/>
            <w:tcBorders>
              <w:tl2br w:val="nil"/>
              <w:tr2bl w:val="nil"/>
            </w:tcBorders>
            <w:noWrap/>
            <w:vAlign w:val="center"/>
          </w:tcPr>
          <w:p>
            <w:pPr>
              <w:jc w:val="center"/>
              <w:rPr>
                <w:rFonts w:ascii="宋体" w:cs="宋体"/>
                <w:sz w:val="20"/>
              </w:rPr>
            </w:pPr>
          </w:p>
        </w:tc>
        <w:tc>
          <w:tcPr>
            <w:tcW w:w="759" w:type="dxa"/>
            <w:gridSpan w:val="2"/>
            <w:vMerge w:val="continue"/>
            <w:tcBorders>
              <w:tl2br w:val="nil"/>
              <w:tr2bl w:val="nil"/>
            </w:tcBorders>
            <w:noWrap/>
            <w:vAlign w:val="center"/>
          </w:tcPr>
          <w:p>
            <w:pPr>
              <w:jc w:val="center"/>
              <w:rPr>
                <w:rFonts w:ascii="宋体" w:hAnsi="宋体" w:eastAsia="宋体" w:cs="宋体"/>
                <w:sz w:val="20"/>
              </w:rPr>
            </w:pPr>
          </w:p>
        </w:tc>
        <w:tc>
          <w:tcPr>
            <w:tcW w:w="4020" w:type="dxa"/>
            <w:tcBorders>
              <w:tl2br w:val="nil"/>
              <w:tr2bl w:val="nil"/>
            </w:tcBorders>
            <w:noWrap/>
            <w:vAlign w:val="center"/>
          </w:tcPr>
          <w:p>
            <w:pPr>
              <w:widowControl/>
              <w:jc w:val="left"/>
              <w:textAlignment w:val="center"/>
              <w:rPr>
                <w:rFonts w:ascii="宋体" w:hAnsi="宋体" w:eastAsia="宋体" w:cs="宋体"/>
                <w:color w:val="000000"/>
                <w:kern w:val="0"/>
                <w:sz w:val="20"/>
              </w:rPr>
            </w:pPr>
          </w:p>
        </w:tc>
        <w:tc>
          <w:tcPr>
            <w:tcW w:w="3080" w:type="dxa"/>
            <w:gridSpan w:val="2"/>
            <w:tcBorders>
              <w:tl2br w:val="nil"/>
              <w:tr2bl w:val="nil"/>
            </w:tcBorders>
            <w:noWrap/>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ign w:val="center"/>
          </w:tcPr>
          <w:p>
            <w:pPr>
              <w:jc w:val="center"/>
              <w:rPr>
                <w:rFonts w:ascii="宋体" w:cs="宋体"/>
                <w:sz w:val="20"/>
              </w:rPr>
            </w:pPr>
          </w:p>
        </w:tc>
        <w:tc>
          <w:tcPr>
            <w:tcW w:w="723" w:type="dxa"/>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4020" w:type="dxa"/>
            <w:tcBorders>
              <w:tl2br w:val="nil"/>
              <w:tr2bl w:val="nil"/>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指标1：</w:t>
            </w:r>
            <w:r>
              <w:rPr>
                <w:rFonts w:hint="eastAsia"/>
                <w:sz w:val="20"/>
                <w:szCs w:val="20"/>
              </w:rPr>
              <w:t>相关部门和企业对工商联工作开展的满意度</w:t>
            </w:r>
          </w:p>
        </w:tc>
        <w:tc>
          <w:tcPr>
            <w:tcW w:w="3080" w:type="dxa"/>
            <w:gridSpan w:val="2"/>
            <w:tcBorders>
              <w:tl2br w:val="nil"/>
              <w:tr2bl w:val="nil"/>
            </w:tcBorders>
            <w:noWrap/>
            <w:vAlign w:val="center"/>
          </w:tcPr>
          <w:p>
            <w:pPr>
              <w:jc w:val="center"/>
              <w:rPr>
                <w:rFonts w:ascii="宋体" w:cs="宋体"/>
                <w:sz w:val="20"/>
              </w:rPr>
            </w:pPr>
            <w:r>
              <w:rPr>
                <w:rFonts w:hint="eastAsia"/>
                <w:sz w:val="20"/>
                <w:szCs w:val="20"/>
                <w:lang w:val="en-US" w:eastAsia="zh-CN"/>
              </w:rPr>
              <w:t>较好水平</w:t>
            </w:r>
          </w:p>
        </w:tc>
      </w:tr>
    </w:tbl>
    <w:p>
      <w:pPr>
        <w:adjustRightInd w:val="0"/>
        <w:snapToGrid w:val="0"/>
        <w:spacing w:line="560" w:lineRule="exact"/>
        <w:ind w:firstLine="643" w:firstLineChars="200"/>
        <w:rPr>
          <w:rFonts w:ascii="TimesNewRoman" w:hAnsi="TimesNewRoman" w:cs="TimesNewRoman"/>
          <w:b/>
          <w:szCs w:val="32"/>
        </w:rPr>
      </w:pPr>
    </w:p>
    <w:p>
      <w:pPr>
        <w:adjustRightInd w:val="0"/>
        <w:snapToGrid w:val="0"/>
        <w:spacing w:line="520" w:lineRule="exact"/>
        <w:ind w:firstLine="643" w:firstLineChars="200"/>
        <w:rPr>
          <w:rFonts w:ascii="TimesNewRoman" w:hAnsi="TimesNewRoman" w:cs="TimesNewRoman"/>
          <w:b/>
          <w:szCs w:val="32"/>
        </w:rPr>
      </w:pPr>
      <w:r>
        <w:rPr>
          <w:rFonts w:ascii="TimesNewRoman" w:hAnsi="TimesNewRoman" w:cs="TimesNewRoman"/>
          <w:b/>
          <w:szCs w:val="32"/>
        </w:rPr>
        <w:t>（二）机关运行经费。</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工商业联合会</w:t>
      </w:r>
      <w:r>
        <w:rPr>
          <w:rFonts w:ascii="TimesNewRoman" w:hAnsi="TimesNewRoman" w:cs="TimesNewRoman"/>
          <w:szCs w:val="32"/>
        </w:rPr>
        <w:t>2023年机关运行经费财政拨款预算</w:t>
      </w:r>
      <w:r>
        <w:rPr>
          <w:rFonts w:hint="eastAsia" w:ascii="TimesNewRoman" w:hAnsi="TimesNewRoman" w:cs="TimesNewRoman"/>
          <w:szCs w:val="32"/>
          <w:lang w:val="en-US" w:eastAsia="zh-CN"/>
        </w:rPr>
        <w:t>14.95</w:t>
      </w:r>
      <w:r>
        <w:rPr>
          <w:rFonts w:ascii="TimesNewRoman" w:hAnsi="TimesNewRoman" w:cs="TimesNewRoman"/>
          <w:szCs w:val="32"/>
        </w:rPr>
        <w:t>万元，比2022年预算增加</w:t>
      </w:r>
      <w:r>
        <w:rPr>
          <w:rFonts w:hint="eastAsia" w:ascii="TimesNewRoman" w:hAnsi="TimesNewRoman" w:cs="TimesNewRoman"/>
          <w:szCs w:val="32"/>
          <w:lang w:val="en-US" w:eastAsia="zh-CN"/>
        </w:rPr>
        <w:t>1.08</w:t>
      </w:r>
      <w:r>
        <w:rPr>
          <w:rFonts w:ascii="TimesNewRoman" w:hAnsi="TimesNewRoman" w:cs="TimesNewRoman"/>
          <w:szCs w:val="32"/>
        </w:rPr>
        <w:t>万元，增长</w:t>
      </w:r>
      <w:r>
        <w:rPr>
          <w:rFonts w:hint="eastAsia" w:ascii="TimesNewRoman" w:hAnsi="TimesNewRoman" w:cs="TimesNewRoman"/>
          <w:szCs w:val="32"/>
          <w:lang w:val="en-US" w:eastAsia="zh-CN"/>
        </w:rPr>
        <w:t>7.8</w:t>
      </w:r>
      <w:r>
        <w:rPr>
          <w:rFonts w:ascii="TimesNewRoman" w:hAnsi="TimesNewRoman" w:cs="TimesNewRoman"/>
          <w:szCs w:val="32"/>
        </w:rPr>
        <w:t>%，增长主要原因是</w:t>
      </w:r>
      <w:r>
        <w:rPr>
          <w:rFonts w:hint="eastAsia" w:ascii="TimesNewRoman" w:hAnsi="TimesNewRoman" w:cs="TimesNewRoman"/>
          <w:szCs w:val="32"/>
          <w:lang w:eastAsia="zh-CN"/>
        </w:rPr>
        <w:t>公用经费支出增加</w:t>
      </w:r>
      <w:r>
        <w:rPr>
          <w:rFonts w:ascii="TimesNewRoman" w:hAnsi="TimesNewRoman" w:cs="TimesNewRoman"/>
          <w:szCs w:val="32"/>
        </w:rPr>
        <w:t>。</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（三）政府采购情况。</w:t>
      </w:r>
    </w:p>
    <w:p>
      <w:pPr>
        <w:adjustRightInd w:val="0"/>
        <w:snapToGrid w:val="0"/>
        <w:spacing w:line="560" w:lineRule="exact"/>
        <w:ind w:firstLine="640" w:firstLineChars="200"/>
        <w:rPr>
          <w:rFonts w:ascii="TimesNewRoman" w:hAnsi="TimesNewRoman" w:cs="TimesNewRoman"/>
          <w:szCs w:val="32"/>
        </w:rPr>
      </w:pPr>
      <w:r>
        <w:rPr>
          <w:rFonts w:hint="eastAsia" w:ascii="TimesNewRoman" w:hAnsi="TimesNewRoman" w:cs="TimesNewRoman"/>
          <w:kern w:val="0"/>
          <w:szCs w:val="32"/>
        </w:rPr>
        <w:t>宿松县</w:t>
      </w:r>
      <w:r>
        <w:rPr>
          <w:rFonts w:hint="eastAsia" w:ascii="TimesNewRoman" w:hAnsi="TimesNewRoman" w:cs="TimesNewRoman"/>
          <w:kern w:val="0"/>
          <w:szCs w:val="32"/>
          <w:lang w:eastAsia="zh-CN"/>
        </w:rPr>
        <w:t>工商业联合会</w:t>
      </w:r>
      <w:r>
        <w:rPr>
          <w:rFonts w:ascii="TimesNewRoman" w:hAnsi="TimesNewRoman" w:cs="TimesNewRoman"/>
          <w:szCs w:val="32"/>
        </w:rPr>
        <w:t>2023年政府采购预算</w:t>
      </w:r>
      <w:r>
        <w:rPr>
          <w:rFonts w:hint="eastAsia" w:ascii="TimesNewRoman" w:hAnsi="TimesNewRoman" w:cs="TimesNewRoman"/>
          <w:szCs w:val="32"/>
          <w:lang w:val="en-US" w:eastAsia="zh-CN"/>
        </w:rPr>
        <w:t>1.00</w:t>
      </w:r>
      <w:r>
        <w:rPr>
          <w:rFonts w:ascii="TimesNewRoman" w:hAnsi="TimesNewRoman" w:cs="TimesNewRoman"/>
          <w:szCs w:val="32"/>
        </w:rPr>
        <w:t>万元。其中：政府采购货物预算</w:t>
      </w:r>
      <w:r>
        <w:rPr>
          <w:rFonts w:hint="eastAsia" w:ascii="TimesNewRoman" w:hAnsi="TimesNewRoman" w:cs="TimesNewRoman"/>
          <w:szCs w:val="32"/>
          <w:lang w:val="en-US" w:eastAsia="zh-CN"/>
        </w:rPr>
        <w:t>1.00</w:t>
      </w:r>
      <w:r>
        <w:rPr>
          <w:rFonts w:ascii="TimesNewRoman" w:hAnsi="TimesNewRoman" w:cs="TimesNewRoman"/>
          <w:szCs w:val="32"/>
        </w:rPr>
        <w:t>万元，政府采购工程预算</w:t>
      </w:r>
      <w:r>
        <w:rPr>
          <w:rFonts w:hint="eastAsia" w:ascii="TimesNewRoman" w:hAnsi="TimesNewRoman" w:cs="TimesNewRoman"/>
          <w:szCs w:val="32"/>
          <w:lang w:val="en-US" w:eastAsia="zh-CN"/>
        </w:rPr>
        <w:t>0</w:t>
      </w:r>
      <w:r>
        <w:rPr>
          <w:rFonts w:ascii="TimesNewRoman" w:hAnsi="TimesNewRoman" w:cs="TimesNewRoman"/>
          <w:szCs w:val="32"/>
        </w:rPr>
        <w:t>万元，政府采购服务预算</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（四）国有资产占有使用情况。</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截至2022年12月31日，</w:t>
      </w:r>
      <w:r>
        <w:rPr>
          <w:rFonts w:hint="eastAsia" w:ascii="TimesNewRoman" w:hAnsi="TimesNewRoman" w:cs="TimesNewRoman"/>
          <w:kern w:val="0"/>
          <w:szCs w:val="32"/>
        </w:rPr>
        <w:t>宿松县</w:t>
      </w:r>
      <w:r>
        <w:rPr>
          <w:rFonts w:hint="eastAsia" w:ascii="TimesNewRoman" w:hAnsi="TimesNewRoman" w:cs="TimesNewRoman"/>
          <w:kern w:val="0"/>
          <w:szCs w:val="32"/>
          <w:lang w:eastAsia="zh-CN"/>
        </w:rPr>
        <w:t>工商业联合会</w:t>
      </w:r>
      <w:r>
        <w:rPr>
          <w:rFonts w:ascii="TimesNewRoman" w:hAnsi="TimesNewRoman" w:cs="TimesNewRoman"/>
          <w:szCs w:val="32"/>
        </w:rPr>
        <w:t>共有车辆</w:t>
      </w:r>
      <w:r>
        <w:rPr>
          <w:rFonts w:hint="eastAsia" w:ascii="TimesNewRoman" w:hAnsi="TimesNewRoman" w:cs="TimesNewRoman"/>
          <w:szCs w:val="32"/>
          <w:lang w:val="en-US" w:eastAsia="zh-CN"/>
        </w:rPr>
        <w:t>0</w:t>
      </w:r>
      <w:r>
        <w:rPr>
          <w:rFonts w:ascii="TimesNewRoman" w:hAnsi="TimesNewRoman" w:cs="TimesNewRoman"/>
          <w:szCs w:val="32"/>
        </w:rPr>
        <w:t>辆。单价50万元以上的通用设备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台（套），单价100万元以上的专用设备</w:t>
      </w:r>
      <w:r>
        <w:rPr>
          <w:rFonts w:hint="eastAsia" w:ascii="TimesNewRoman" w:hAnsi="TimesNewRoman" w:cs="TimesNewRoman"/>
          <w:szCs w:val="32"/>
          <w:lang w:val="en-US" w:eastAsia="zh-CN"/>
        </w:rPr>
        <w:t>0</w:t>
      </w:r>
      <w:r>
        <w:rPr>
          <w:rFonts w:ascii="TimesNewRoman" w:hAnsi="TimesNewRoman" w:cs="TimesNewRoman"/>
          <w:szCs w:val="32"/>
        </w:rPr>
        <w:t>台（套）。</w:t>
      </w:r>
    </w:p>
    <w:p>
      <w:pPr>
        <w:adjustRightInd w:val="0"/>
        <w:snapToGrid w:val="0"/>
        <w:spacing w:line="560" w:lineRule="exact"/>
        <w:ind w:firstLine="640" w:firstLineChars="200"/>
        <w:rPr>
          <w:rFonts w:ascii="TimesNewRoman" w:hAnsi="TimesNewRoman" w:cs="TimesNewRoman"/>
          <w:szCs w:val="32"/>
        </w:rPr>
      </w:pPr>
      <w:r>
        <w:rPr>
          <w:rFonts w:ascii="TimesNewRoman" w:hAnsi="TimesNewRoman" w:cs="TimesNewRoman"/>
          <w:szCs w:val="32"/>
        </w:rPr>
        <w:t>2023年部门预算安排购置公务用车</w:t>
      </w:r>
      <w:r>
        <w:rPr>
          <w:rFonts w:hint="eastAsia" w:ascii="TimesNewRoman" w:hAnsi="TimesNewRoman" w:cs="TimesNewRoman"/>
          <w:szCs w:val="32"/>
          <w:lang w:val="en-US" w:eastAsia="zh-CN"/>
        </w:rPr>
        <w:t>0</w:t>
      </w:r>
      <w:r>
        <w:rPr>
          <w:rFonts w:ascii="TimesNewRoman" w:hAnsi="TimesNewRoman" w:cs="TimesNewRoman"/>
          <w:szCs w:val="32"/>
        </w:rPr>
        <w:t>辆，购置费</w:t>
      </w:r>
      <w:r>
        <w:rPr>
          <w:rFonts w:hint="eastAsia" w:ascii="TimesNewRoman" w:hAnsi="TimesNewRoman" w:cs="TimesNewRoman"/>
          <w:szCs w:val="32"/>
          <w:lang w:val="en-US" w:eastAsia="zh-CN"/>
        </w:rPr>
        <w:t>0</w:t>
      </w:r>
      <w:r>
        <w:rPr>
          <w:rFonts w:ascii="TimesNewRoman" w:hAnsi="TimesNewRoman" w:cs="TimesNewRoman"/>
          <w:szCs w:val="32"/>
        </w:rPr>
        <w:t>万元；安排购置单价50万元以上的通用设备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万元；安排购置单价100万元以上专用设备</w:t>
      </w:r>
      <w:r>
        <w:rPr>
          <w:rFonts w:hint="eastAsia" w:ascii="TimesNewRoman" w:hAnsi="TimesNewRoman" w:cs="TimesNewRoman"/>
          <w:szCs w:val="32"/>
          <w:lang w:val="en-US" w:eastAsia="zh-CN"/>
        </w:rPr>
        <w:t>0</w:t>
      </w:r>
      <w:r>
        <w:rPr>
          <w:rFonts w:ascii="TimesNewRoman" w:hAnsi="TimesNewRoman" w:cs="TimesNewRoman"/>
          <w:szCs w:val="32"/>
        </w:rPr>
        <w:t>台（套），购置费</w:t>
      </w:r>
      <w:r>
        <w:rPr>
          <w:rFonts w:hint="eastAsia" w:ascii="TimesNewRoman" w:hAnsi="TimesNewRoman" w:cs="TimesNewRoman"/>
          <w:szCs w:val="32"/>
          <w:lang w:val="en-US" w:eastAsia="zh-CN"/>
        </w:rPr>
        <w:t>0</w:t>
      </w:r>
      <w:r>
        <w:rPr>
          <w:rFonts w:ascii="TimesNewRoman" w:hAnsi="TimesNewRoman" w:cs="TimesNewRoman"/>
          <w:szCs w:val="32"/>
        </w:rPr>
        <w:t>万元。</w:t>
      </w:r>
    </w:p>
    <w:p>
      <w:pPr>
        <w:adjustRightInd w:val="0"/>
        <w:snapToGrid w:val="0"/>
        <w:spacing w:line="560" w:lineRule="exact"/>
        <w:ind w:firstLine="643" w:firstLineChars="200"/>
        <w:rPr>
          <w:rFonts w:ascii="TimesNewRoman" w:hAnsi="TimesNewRoman" w:cs="TimesNewRoman"/>
          <w:b/>
          <w:szCs w:val="32"/>
        </w:rPr>
      </w:pPr>
      <w:r>
        <w:rPr>
          <w:rFonts w:ascii="TimesNewRoman" w:hAnsi="TimesNewRoman" w:cs="TimesNewRoman"/>
          <w:b/>
          <w:szCs w:val="32"/>
        </w:rPr>
        <w:t>（五）绩效目标设置情况。</w:t>
      </w:r>
    </w:p>
    <w:p>
      <w:pPr>
        <w:adjustRightInd w:val="0"/>
        <w:snapToGrid w:val="0"/>
        <w:spacing w:line="560" w:lineRule="exact"/>
        <w:ind w:firstLine="640" w:firstLineChars="200"/>
        <w:outlineLvl w:val="0"/>
        <w:rPr>
          <w:rFonts w:ascii="TimesNewRoman" w:hAnsi="TimesNewRoman" w:cs="TimesNewRoman"/>
          <w:szCs w:val="32"/>
        </w:rPr>
      </w:pPr>
      <w:r>
        <w:rPr>
          <w:rFonts w:ascii="TimesNewRoman" w:hAnsi="TimesNewRoman" w:cs="TimesNewRoman"/>
          <w:szCs w:val="32"/>
        </w:rPr>
        <w:t>2023年，</w:t>
      </w:r>
      <w:r>
        <w:rPr>
          <w:rFonts w:hint="eastAsia" w:ascii="TimesNewRoman" w:hAnsi="TimesNewRoman" w:cs="TimesNewRoman"/>
          <w:kern w:val="0"/>
          <w:szCs w:val="32"/>
        </w:rPr>
        <w:t>宿松县</w:t>
      </w:r>
      <w:r>
        <w:rPr>
          <w:rFonts w:hint="eastAsia" w:ascii="TimesNewRoman" w:hAnsi="TimesNewRoman" w:cs="TimesNewRoman"/>
          <w:kern w:val="0"/>
          <w:szCs w:val="32"/>
          <w:lang w:eastAsia="zh-CN"/>
        </w:rPr>
        <w:t>工商业联合会</w:t>
      </w:r>
      <w:r>
        <w:rPr>
          <w:rFonts w:hint="eastAsia" w:ascii="TimesNewRoman" w:hAnsi="TimesNewRoman" w:cs="TimesNewRoman"/>
          <w:szCs w:val="32"/>
          <w:lang w:val="en-US" w:eastAsia="zh-CN"/>
        </w:rPr>
        <w:t>6</w:t>
      </w:r>
      <w:r>
        <w:rPr>
          <w:rFonts w:ascii="TimesNewRoman" w:hAnsi="TimesNewRoman" w:cs="TimesNewRoman"/>
          <w:szCs w:val="32"/>
        </w:rPr>
        <w:t>个项目实行了绩效目标管理，涉及一般公共预算当年财政拨款</w:t>
      </w:r>
      <w:r>
        <w:rPr>
          <w:rFonts w:hint="eastAsia" w:ascii="TimesNewRoman" w:hAnsi="TimesNewRoman" w:cs="TimesNewRoman"/>
          <w:szCs w:val="32"/>
          <w:lang w:val="en-US" w:eastAsia="zh-CN"/>
        </w:rPr>
        <w:t>49.00</w:t>
      </w:r>
      <w:r>
        <w:rPr>
          <w:rFonts w:ascii="TimesNewRoman" w:hAnsi="TimesNewRoman" w:cs="TimesNewRoman"/>
          <w:szCs w:val="32"/>
        </w:rPr>
        <w:t>万元。</w:t>
      </w: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tabs>
          <w:tab w:val="left" w:pos="3316"/>
        </w:tabs>
        <w:adjustRightInd w:val="0"/>
        <w:snapToGrid w:val="0"/>
        <w:spacing w:line="560" w:lineRule="exact"/>
        <w:outlineLvl w:val="0"/>
        <w:rPr>
          <w:rFonts w:ascii="TimesNewRoman" w:hAnsi="TimesNewRoman" w:eastAsia="黑体" w:cs="TimesNewRoman"/>
          <w:sz w:val="36"/>
          <w:szCs w:val="36"/>
        </w:rPr>
      </w:pPr>
    </w:p>
    <w:p>
      <w:pPr>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adjustRightInd w:val="0"/>
        <w:snapToGrid w:val="0"/>
        <w:spacing w:line="560" w:lineRule="exact"/>
        <w:ind w:firstLine="640" w:firstLineChars="200"/>
        <w:rPr>
          <w:rFonts w:ascii="TimesNewRoman" w:hAnsi="TimesNewRoman" w:eastAsia="黑体" w:cs="TimesNewRoman"/>
          <w:szCs w:val="32"/>
        </w:rPr>
      </w:pPr>
    </w:p>
    <w:p>
      <w:pPr>
        <w:adjustRightInd w:val="0"/>
        <w:snapToGrid w:val="0"/>
        <w:spacing w:line="560" w:lineRule="exact"/>
        <w:ind w:firstLine="640" w:firstLineChars="200"/>
        <w:rPr>
          <w:rFonts w:ascii="TimesNewRoman" w:hAnsi="TimesNewRoman" w:cs="TimesNewRoman"/>
          <w:szCs w:val="32"/>
        </w:rPr>
      </w:pPr>
      <w:r>
        <w:rPr>
          <w:rFonts w:ascii="TimesNewRoman" w:hAnsi="TimesNewRoman" w:eastAsia="黑体" w:cs="TimesNewRoman"/>
          <w:szCs w:val="32"/>
        </w:rPr>
        <w:t>一、财政拨款收入</w:t>
      </w:r>
      <w:r>
        <w:rPr>
          <w:rFonts w:ascii="TimesNewRoman" w:hAnsi="TimesNewRoman" w:cs="TimesNewRoman"/>
          <w:b/>
          <w:szCs w:val="32"/>
        </w:rPr>
        <w:t>：</w:t>
      </w:r>
      <w:r>
        <w:rPr>
          <w:rFonts w:ascii="TimesNewRoman" w:hAnsi="TimesNewRoman" w:cs="TimesNewRoman"/>
          <w:szCs w:val="32"/>
        </w:rPr>
        <w:t>指部门或单位从同级财政部门取得的财政预算资金。</w:t>
      </w:r>
    </w:p>
    <w:p>
      <w:pPr>
        <w:pStyle w:val="5"/>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八、基本支出</w:t>
      </w:r>
      <w:r>
        <w:rPr>
          <w:rFonts w:ascii="TimesNewRoman" w:hAnsi="TimesNewRoman" w:eastAsia="仿宋_GB2312" w:cs="TimesNewRoman"/>
          <w:b/>
          <w:sz w:val="32"/>
          <w:szCs w:val="32"/>
        </w:rPr>
        <w:t>：</w:t>
      </w:r>
      <w:r>
        <w:rPr>
          <w:rFonts w:ascii="TimesNewRoman" w:hAnsi="TimesNewRoman" w:eastAsia="仿宋_GB2312" w:cs="TimesNewRoman"/>
          <w:sz w:val="32"/>
          <w:szCs w:val="32"/>
        </w:rPr>
        <w:t>指为保障机构正常运转、完成日常工作任务而发生的人员支出和公用支出。</w:t>
      </w:r>
    </w:p>
    <w:p>
      <w:pPr>
        <w:pStyle w:val="5"/>
        <w:spacing w:line="560" w:lineRule="exact"/>
        <w:ind w:firstLine="627" w:firstLineChars="196"/>
        <w:rPr>
          <w:rFonts w:hint="eastAsia" w:ascii="TimesNewRoman" w:hAnsi="TimesNewRoman" w:eastAsia="仿宋_GB2312" w:cs="TimesNewRoman"/>
          <w:sz w:val="32"/>
          <w:szCs w:val="32"/>
          <w:lang w:eastAsia="zh-CN"/>
        </w:rPr>
      </w:pPr>
      <w:r>
        <w:rPr>
          <w:rFonts w:ascii="TimesNewRoman" w:hAnsi="TimesNewRoman" w:eastAsia="黑体" w:cs="TimesNewRoman"/>
          <w:sz w:val="32"/>
          <w:szCs w:val="32"/>
        </w:rPr>
        <w:t>九、项目支出</w:t>
      </w:r>
      <w:r>
        <w:rPr>
          <w:rFonts w:ascii="TimesNewRoman" w:hAnsi="TimesNewRoman" w:eastAsia="仿宋_GB2312" w:cs="TimesNewRoman"/>
          <w:b/>
          <w:sz w:val="32"/>
          <w:szCs w:val="32"/>
        </w:rPr>
        <w:t>：</w:t>
      </w:r>
      <w:r>
        <w:rPr>
          <w:rFonts w:ascii="TimesNewRoman" w:hAnsi="TimesNewRoman" w:eastAsia="仿宋_GB2312" w:cs="TimesNewRoman"/>
          <w:sz w:val="32"/>
          <w:szCs w:val="32"/>
        </w:rPr>
        <w:t>指在除基本支出之外的支出，主要用于完成特定的工作任务和事业发展目标。</w:t>
      </w:r>
    </w:p>
    <w:p>
      <w:pPr>
        <w:pStyle w:val="5"/>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十、机关运行经费</w:t>
      </w:r>
      <w:r>
        <w:rPr>
          <w:rFonts w:hint="eastAsia" w:ascii="TimesNewRoman" w:hAnsi="TimesNewRoman" w:eastAsia="黑体" w:cs="TimesNewRoman"/>
          <w:sz w:val="32"/>
          <w:szCs w:val="32"/>
          <w:lang w:eastAsia="zh-CN"/>
        </w:rPr>
        <w:t>：</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十一、</w:t>
      </w:r>
      <w:r>
        <w:rPr>
          <w:rFonts w:hint="eastAsia" w:ascii="TimesNewRoman" w:hAnsi="TimesNewRoman" w:eastAsia="黑体" w:cs="TimesNewRoman"/>
          <w:sz w:val="32"/>
          <w:szCs w:val="32"/>
        </w:rPr>
        <w:t>一般公共服务支出（类）</w:t>
      </w:r>
      <w:r>
        <w:rPr>
          <w:rFonts w:hint="eastAsia" w:ascii="TimesNewRoman" w:hAnsi="TimesNewRoman" w:eastAsia="黑体" w:cs="TimesNewRoman"/>
          <w:sz w:val="32"/>
          <w:szCs w:val="32"/>
          <w:lang w:eastAsia="zh-CN"/>
        </w:rPr>
        <w:t>民主党派及工商联事务</w:t>
      </w:r>
      <w:r>
        <w:rPr>
          <w:rFonts w:hint="eastAsia" w:ascii="TimesNewRoman" w:hAnsi="TimesNewRoman" w:eastAsia="黑体" w:cs="TimesNewRoman"/>
          <w:sz w:val="32"/>
          <w:szCs w:val="32"/>
        </w:rPr>
        <w:t>（款）行政运行（项）</w:t>
      </w:r>
      <w:r>
        <w:rPr>
          <w:rFonts w:ascii="TimesNewRoman" w:hAnsi="TimesNewRoman" w:eastAsia="黑体" w:cs="TimesNewRoman"/>
          <w:sz w:val="32"/>
          <w:szCs w:val="32"/>
        </w:rPr>
        <w:t>：</w:t>
      </w:r>
      <w:r>
        <w:rPr>
          <w:rFonts w:ascii="TimesNewRoman" w:hAnsi="TimesNewRoman" w:eastAsia="仿宋_GB2312" w:cs="TimesNewRoman"/>
          <w:sz w:val="32"/>
          <w:szCs w:val="32"/>
        </w:rPr>
        <w:t>反映部门用于</w:t>
      </w:r>
      <w:r>
        <w:rPr>
          <w:rFonts w:hint="eastAsia" w:ascii="TimesNewRoman" w:hAnsi="TimesNewRoman" w:eastAsia="仿宋_GB2312" w:cs="TimesNewRoman"/>
          <w:sz w:val="32"/>
          <w:szCs w:val="32"/>
          <w:lang w:eastAsia="zh-CN"/>
        </w:rPr>
        <w:t>人员经费以及公用经费</w:t>
      </w:r>
      <w:r>
        <w:rPr>
          <w:rFonts w:ascii="TimesNewRoman" w:hAnsi="TimesNewRoman" w:eastAsia="仿宋_GB2312" w:cs="TimesNewRoman"/>
          <w:sz w:val="32"/>
          <w:szCs w:val="32"/>
        </w:rPr>
        <w:t>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right"/>
        <w:rPr>
          <w:rFonts w:hint="eastAsia" w:ascii="仿宋_GB2312" w:hAnsi="微软雅黑" w:eastAsia="仿宋_GB2312" w:cs="仿宋_GB2312"/>
          <w:i w:val="0"/>
          <w:caps w:val="0"/>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ZjE1YjVlMDQyZWQ2YTg2OTMwNTQ3YTFlMWZmNDYifQ=="/>
    <w:docVar w:name="KSO_WPS_MARK_KEY" w:val="45c2719a-27ee-411e-a831-65f3ded23482"/>
  </w:docVars>
  <w:rsids>
    <w:rsidRoot w:val="00CF3CB4"/>
    <w:rsid w:val="0005790A"/>
    <w:rsid w:val="00143480"/>
    <w:rsid w:val="00196C66"/>
    <w:rsid w:val="001A5EF4"/>
    <w:rsid w:val="00283CA2"/>
    <w:rsid w:val="003C5D98"/>
    <w:rsid w:val="004B4883"/>
    <w:rsid w:val="00555F55"/>
    <w:rsid w:val="006113EA"/>
    <w:rsid w:val="00723D81"/>
    <w:rsid w:val="00741D10"/>
    <w:rsid w:val="00775497"/>
    <w:rsid w:val="00836F2F"/>
    <w:rsid w:val="008B5AE2"/>
    <w:rsid w:val="00914EEE"/>
    <w:rsid w:val="00A1311C"/>
    <w:rsid w:val="00AE481B"/>
    <w:rsid w:val="00C32F09"/>
    <w:rsid w:val="00CB07D6"/>
    <w:rsid w:val="00CF3CB4"/>
    <w:rsid w:val="01486D1D"/>
    <w:rsid w:val="01580E0D"/>
    <w:rsid w:val="018B19B7"/>
    <w:rsid w:val="01A874AB"/>
    <w:rsid w:val="01E92105"/>
    <w:rsid w:val="01FF6109"/>
    <w:rsid w:val="02031DA8"/>
    <w:rsid w:val="022B28D3"/>
    <w:rsid w:val="023E7AE8"/>
    <w:rsid w:val="023F5782"/>
    <w:rsid w:val="0242141E"/>
    <w:rsid w:val="02661B0D"/>
    <w:rsid w:val="02823BF7"/>
    <w:rsid w:val="02B62D50"/>
    <w:rsid w:val="02DC43D4"/>
    <w:rsid w:val="02E84D81"/>
    <w:rsid w:val="02EC3013"/>
    <w:rsid w:val="0307292B"/>
    <w:rsid w:val="031D4079"/>
    <w:rsid w:val="03435D11"/>
    <w:rsid w:val="039F28FF"/>
    <w:rsid w:val="040106FE"/>
    <w:rsid w:val="04120A79"/>
    <w:rsid w:val="04193B67"/>
    <w:rsid w:val="04220FFB"/>
    <w:rsid w:val="043C7E45"/>
    <w:rsid w:val="04494F5A"/>
    <w:rsid w:val="04685F51"/>
    <w:rsid w:val="04975C6D"/>
    <w:rsid w:val="049909B2"/>
    <w:rsid w:val="049A0EC3"/>
    <w:rsid w:val="04AE27D8"/>
    <w:rsid w:val="04BE78CE"/>
    <w:rsid w:val="04BF4488"/>
    <w:rsid w:val="04CE3238"/>
    <w:rsid w:val="04D540E6"/>
    <w:rsid w:val="04FB7FCD"/>
    <w:rsid w:val="05085251"/>
    <w:rsid w:val="053D2E4C"/>
    <w:rsid w:val="0582105B"/>
    <w:rsid w:val="05A07C29"/>
    <w:rsid w:val="05A269B3"/>
    <w:rsid w:val="05A55A4F"/>
    <w:rsid w:val="05B60983"/>
    <w:rsid w:val="05C83C65"/>
    <w:rsid w:val="05D465F3"/>
    <w:rsid w:val="05FA116B"/>
    <w:rsid w:val="06095F7E"/>
    <w:rsid w:val="061578C6"/>
    <w:rsid w:val="06273E1D"/>
    <w:rsid w:val="063F28A0"/>
    <w:rsid w:val="066A50C0"/>
    <w:rsid w:val="066C1EB0"/>
    <w:rsid w:val="06705803"/>
    <w:rsid w:val="06834D52"/>
    <w:rsid w:val="06BA4315"/>
    <w:rsid w:val="06DE7A78"/>
    <w:rsid w:val="07010D05"/>
    <w:rsid w:val="07261B35"/>
    <w:rsid w:val="07285F7E"/>
    <w:rsid w:val="0753161B"/>
    <w:rsid w:val="075965D1"/>
    <w:rsid w:val="076F5A8A"/>
    <w:rsid w:val="07992707"/>
    <w:rsid w:val="079B5899"/>
    <w:rsid w:val="07A00B7B"/>
    <w:rsid w:val="07A12A14"/>
    <w:rsid w:val="07EA2C2C"/>
    <w:rsid w:val="07F36EA5"/>
    <w:rsid w:val="080705DD"/>
    <w:rsid w:val="083721DA"/>
    <w:rsid w:val="08380297"/>
    <w:rsid w:val="08723D46"/>
    <w:rsid w:val="08AF047C"/>
    <w:rsid w:val="08C96805"/>
    <w:rsid w:val="08D612E1"/>
    <w:rsid w:val="08FA1431"/>
    <w:rsid w:val="08FC1F53"/>
    <w:rsid w:val="08FE4B6C"/>
    <w:rsid w:val="09084F98"/>
    <w:rsid w:val="09173115"/>
    <w:rsid w:val="091A762E"/>
    <w:rsid w:val="09300058"/>
    <w:rsid w:val="09322D34"/>
    <w:rsid w:val="093A6425"/>
    <w:rsid w:val="094552CD"/>
    <w:rsid w:val="094E47E6"/>
    <w:rsid w:val="09546E62"/>
    <w:rsid w:val="095703E7"/>
    <w:rsid w:val="095F03D4"/>
    <w:rsid w:val="09691AA2"/>
    <w:rsid w:val="097528C9"/>
    <w:rsid w:val="09753B8C"/>
    <w:rsid w:val="097D11E5"/>
    <w:rsid w:val="097F6432"/>
    <w:rsid w:val="099A30BF"/>
    <w:rsid w:val="09A062BB"/>
    <w:rsid w:val="09A854BB"/>
    <w:rsid w:val="09D242E1"/>
    <w:rsid w:val="09DE74BA"/>
    <w:rsid w:val="09E16D67"/>
    <w:rsid w:val="0A0A3635"/>
    <w:rsid w:val="0A2A6FBE"/>
    <w:rsid w:val="0A3B49A6"/>
    <w:rsid w:val="0A3D3331"/>
    <w:rsid w:val="0A457DBF"/>
    <w:rsid w:val="0A563B00"/>
    <w:rsid w:val="0A6D5AA6"/>
    <w:rsid w:val="0A7E2F7C"/>
    <w:rsid w:val="0AEE31FE"/>
    <w:rsid w:val="0AF752A3"/>
    <w:rsid w:val="0AFA65B5"/>
    <w:rsid w:val="0AFA7315"/>
    <w:rsid w:val="0AFF6639"/>
    <w:rsid w:val="0B2064C8"/>
    <w:rsid w:val="0B297C00"/>
    <w:rsid w:val="0B737D4B"/>
    <w:rsid w:val="0B7D3B49"/>
    <w:rsid w:val="0B8672C1"/>
    <w:rsid w:val="0BD36BAD"/>
    <w:rsid w:val="0BD52895"/>
    <w:rsid w:val="0BFC5F94"/>
    <w:rsid w:val="0C0F11C5"/>
    <w:rsid w:val="0C131B81"/>
    <w:rsid w:val="0C142456"/>
    <w:rsid w:val="0C403F8E"/>
    <w:rsid w:val="0C4222C8"/>
    <w:rsid w:val="0C507244"/>
    <w:rsid w:val="0C6B239F"/>
    <w:rsid w:val="0C917162"/>
    <w:rsid w:val="0CA3357A"/>
    <w:rsid w:val="0CBB6A44"/>
    <w:rsid w:val="0CBD4046"/>
    <w:rsid w:val="0CD07FFB"/>
    <w:rsid w:val="0CE458BD"/>
    <w:rsid w:val="0D091C25"/>
    <w:rsid w:val="0D7443F5"/>
    <w:rsid w:val="0DB8355E"/>
    <w:rsid w:val="0DD97409"/>
    <w:rsid w:val="0DED0F1F"/>
    <w:rsid w:val="0E4E63C5"/>
    <w:rsid w:val="0E536FD5"/>
    <w:rsid w:val="0E7D5CC2"/>
    <w:rsid w:val="0EC56499"/>
    <w:rsid w:val="0EC7440A"/>
    <w:rsid w:val="0ED45FD5"/>
    <w:rsid w:val="0ED53E93"/>
    <w:rsid w:val="0EF62FF8"/>
    <w:rsid w:val="0F4175E7"/>
    <w:rsid w:val="0F4A5AD3"/>
    <w:rsid w:val="0F630123"/>
    <w:rsid w:val="0F8C0FCA"/>
    <w:rsid w:val="0FAB599F"/>
    <w:rsid w:val="0FAC4AAC"/>
    <w:rsid w:val="0FC93933"/>
    <w:rsid w:val="0FCE5A58"/>
    <w:rsid w:val="102F5305"/>
    <w:rsid w:val="104A79A1"/>
    <w:rsid w:val="104B7AD9"/>
    <w:rsid w:val="1053333E"/>
    <w:rsid w:val="1072346A"/>
    <w:rsid w:val="107E0211"/>
    <w:rsid w:val="10826665"/>
    <w:rsid w:val="10837374"/>
    <w:rsid w:val="10C92D41"/>
    <w:rsid w:val="10CF61BA"/>
    <w:rsid w:val="10EA0416"/>
    <w:rsid w:val="116F02A6"/>
    <w:rsid w:val="119314ED"/>
    <w:rsid w:val="119C5DB6"/>
    <w:rsid w:val="119D3640"/>
    <w:rsid w:val="11AB6C6F"/>
    <w:rsid w:val="11C568FB"/>
    <w:rsid w:val="11CA40BC"/>
    <w:rsid w:val="11DD21F0"/>
    <w:rsid w:val="11F71199"/>
    <w:rsid w:val="120F3976"/>
    <w:rsid w:val="123D3C9D"/>
    <w:rsid w:val="124B0A5E"/>
    <w:rsid w:val="125D6F91"/>
    <w:rsid w:val="126F4DF0"/>
    <w:rsid w:val="12704240"/>
    <w:rsid w:val="12BE3184"/>
    <w:rsid w:val="12CC5B18"/>
    <w:rsid w:val="12D44C4A"/>
    <w:rsid w:val="12F81233"/>
    <w:rsid w:val="12FE74DF"/>
    <w:rsid w:val="130F1AF5"/>
    <w:rsid w:val="131A1E3D"/>
    <w:rsid w:val="132655A8"/>
    <w:rsid w:val="13642D27"/>
    <w:rsid w:val="13CB3F3A"/>
    <w:rsid w:val="13D4749D"/>
    <w:rsid w:val="13EC2485"/>
    <w:rsid w:val="13F728F2"/>
    <w:rsid w:val="14040376"/>
    <w:rsid w:val="1429376F"/>
    <w:rsid w:val="14296D27"/>
    <w:rsid w:val="14496EAA"/>
    <w:rsid w:val="147E31D1"/>
    <w:rsid w:val="148443FC"/>
    <w:rsid w:val="1491049B"/>
    <w:rsid w:val="14B14DA7"/>
    <w:rsid w:val="14C34BB7"/>
    <w:rsid w:val="14C511CD"/>
    <w:rsid w:val="14D6459B"/>
    <w:rsid w:val="14EC2C0E"/>
    <w:rsid w:val="14F93239"/>
    <w:rsid w:val="14FD790E"/>
    <w:rsid w:val="153B5AFC"/>
    <w:rsid w:val="15492ED8"/>
    <w:rsid w:val="155D201D"/>
    <w:rsid w:val="15750668"/>
    <w:rsid w:val="157C42D6"/>
    <w:rsid w:val="159E3DB2"/>
    <w:rsid w:val="15B82A65"/>
    <w:rsid w:val="15CE4FDD"/>
    <w:rsid w:val="16026682"/>
    <w:rsid w:val="16067D5F"/>
    <w:rsid w:val="165E276A"/>
    <w:rsid w:val="16675F72"/>
    <w:rsid w:val="16B007EF"/>
    <w:rsid w:val="170E2759"/>
    <w:rsid w:val="17126C4A"/>
    <w:rsid w:val="172D709F"/>
    <w:rsid w:val="17452FAA"/>
    <w:rsid w:val="17457492"/>
    <w:rsid w:val="17B40FEE"/>
    <w:rsid w:val="17CA0378"/>
    <w:rsid w:val="17E0547E"/>
    <w:rsid w:val="17F241EC"/>
    <w:rsid w:val="181B2B09"/>
    <w:rsid w:val="181D6112"/>
    <w:rsid w:val="18354804"/>
    <w:rsid w:val="183E434B"/>
    <w:rsid w:val="18442101"/>
    <w:rsid w:val="184E5004"/>
    <w:rsid w:val="185F598D"/>
    <w:rsid w:val="187722E4"/>
    <w:rsid w:val="18B5251E"/>
    <w:rsid w:val="18E859E0"/>
    <w:rsid w:val="18EE236E"/>
    <w:rsid w:val="18FA1422"/>
    <w:rsid w:val="192F4B84"/>
    <w:rsid w:val="195B79E2"/>
    <w:rsid w:val="199B5311"/>
    <w:rsid w:val="19D47DFC"/>
    <w:rsid w:val="19DB27DF"/>
    <w:rsid w:val="19EB1937"/>
    <w:rsid w:val="1A031072"/>
    <w:rsid w:val="1A37610B"/>
    <w:rsid w:val="1A561B8D"/>
    <w:rsid w:val="1A5C17DF"/>
    <w:rsid w:val="1A837F61"/>
    <w:rsid w:val="1A873799"/>
    <w:rsid w:val="1AA46171"/>
    <w:rsid w:val="1AD53849"/>
    <w:rsid w:val="1AD87BE9"/>
    <w:rsid w:val="1AE1560F"/>
    <w:rsid w:val="1AE9259A"/>
    <w:rsid w:val="1AF72D98"/>
    <w:rsid w:val="1AF852D6"/>
    <w:rsid w:val="1AFC48D1"/>
    <w:rsid w:val="1B085D60"/>
    <w:rsid w:val="1B1C2820"/>
    <w:rsid w:val="1B6B5E77"/>
    <w:rsid w:val="1B7F3E14"/>
    <w:rsid w:val="1BB51E76"/>
    <w:rsid w:val="1BC352F1"/>
    <w:rsid w:val="1BC835CF"/>
    <w:rsid w:val="1C27197A"/>
    <w:rsid w:val="1C3A2D11"/>
    <w:rsid w:val="1C49415B"/>
    <w:rsid w:val="1C5D7F04"/>
    <w:rsid w:val="1C6D38F1"/>
    <w:rsid w:val="1C9660C6"/>
    <w:rsid w:val="1C995AED"/>
    <w:rsid w:val="1CA2753F"/>
    <w:rsid w:val="1CA81EED"/>
    <w:rsid w:val="1CB04E06"/>
    <w:rsid w:val="1CBA7276"/>
    <w:rsid w:val="1CDC0A83"/>
    <w:rsid w:val="1CF53748"/>
    <w:rsid w:val="1D12367A"/>
    <w:rsid w:val="1D29041B"/>
    <w:rsid w:val="1D52505E"/>
    <w:rsid w:val="1D60114C"/>
    <w:rsid w:val="1D656BAC"/>
    <w:rsid w:val="1D706FF1"/>
    <w:rsid w:val="1D8A287C"/>
    <w:rsid w:val="1D8E76F2"/>
    <w:rsid w:val="1E036981"/>
    <w:rsid w:val="1E086095"/>
    <w:rsid w:val="1E117787"/>
    <w:rsid w:val="1E210CC9"/>
    <w:rsid w:val="1E3A683F"/>
    <w:rsid w:val="1E5A33DE"/>
    <w:rsid w:val="1E6A6503"/>
    <w:rsid w:val="1EA22859"/>
    <w:rsid w:val="1EA57B09"/>
    <w:rsid w:val="1EDD6BD4"/>
    <w:rsid w:val="1EE13A83"/>
    <w:rsid w:val="1EFA5C8F"/>
    <w:rsid w:val="1EFE71A5"/>
    <w:rsid w:val="1F04209A"/>
    <w:rsid w:val="1F0A635F"/>
    <w:rsid w:val="1F143CB5"/>
    <w:rsid w:val="1F2035B9"/>
    <w:rsid w:val="1F2B5951"/>
    <w:rsid w:val="1F3A1848"/>
    <w:rsid w:val="1F447B2B"/>
    <w:rsid w:val="1F5F070B"/>
    <w:rsid w:val="1F7668B4"/>
    <w:rsid w:val="1F823292"/>
    <w:rsid w:val="1F9E39BE"/>
    <w:rsid w:val="1FA10CCC"/>
    <w:rsid w:val="1FAB4936"/>
    <w:rsid w:val="1FAC7314"/>
    <w:rsid w:val="1FB73E20"/>
    <w:rsid w:val="1FB83FFE"/>
    <w:rsid w:val="1FBA2115"/>
    <w:rsid w:val="1FC764A8"/>
    <w:rsid w:val="1FE10BA7"/>
    <w:rsid w:val="20065405"/>
    <w:rsid w:val="202064AD"/>
    <w:rsid w:val="20264354"/>
    <w:rsid w:val="202B2F7F"/>
    <w:rsid w:val="203C513A"/>
    <w:rsid w:val="203C6B3C"/>
    <w:rsid w:val="205737BA"/>
    <w:rsid w:val="205968B4"/>
    <w:rsid w:val="207718FF"/>
    <w:rsid w:val="20866C4D"/>
    <w:rsid w:val="20996984"/>
    <w:rsid w:val="20A25BA9"/>
    <w:rsid w:val="20A3314E"/>
    <w:rsid w:val="20A64ECD"/>
    <w:rsid w:val="20B0107F"/>
    <w:rsid w:val="20C5701F"/>
    <w:rsid w:val="20C807E5"/>
    <w:rsid w:val="212C0E0D"/>
    <w:rsid w:val="212D7265"/>
    <w:rsid w:val="2132174A"/>
    <w:rsid w:val="21343A4E"/>
    <w:rsid w:val="213453AC"/>
    <w:rsid w:val="21381C6F"/>
    <w:rsid w:val="21924C23"/>
    <w:rsid w:val="219C09A8"/>
    <w:rsid w:val="21C57E0A"/>
    <w:rsid w:val="21C82D86"/>
    <w:rsid w:val="21CE6EA0"/>
    <w:rsid w:val="21F94694"/>
    <w:rsid w:val="220716EF"/>
    <w:rsid w:val="221272E4"/>
    <w:rsid w:val="22256504"/>
    <w:rsid w:val="22261403"/>
    <w:rsid w:val="223A5A53"/>
    <w:rsid w:val="223F112A"/>
    <w:rsid w:val="228E196F"/>
    <w:rsid w:val="229A4BBC"/>
    <w:rsid w:val="22A43154"/>
    <w:rsid w:val="22D8702E"/>
    <w:rsid w:val="22EE3929"/>
    <w:rsid w:val="23181F6F"/>
    <w:rsid w:val="231C3204"/>
    <w:rsid w:val="231D6C3B"/>
    <w:rsid w:val="23496936"/>
    <w:rsid w:val="2372753E"/>
    <w:rsid w:val="23AB6C9E"/>
    <w:rsid w:val="23D14B62"/>
    <w:rsid w:val="23EE02B2"/>
    <w:rsid w:val="23EE7113"/>
    <w:rsid w:val="240D725F"/>
    <w:rsid w:val="24357EF5"/>
    <w:rsid w:val="24413E26"/>
    <w:rsid w:val="24646F4F"/>
    <w:rsid w:val="246E3969"/>
    <w:rsid w:val="247926C7"/>
    <w:rsid w:val="247A1986"/>
    <w:rsid w:val="249329CF"/>
    <w:rsid w:val="24B42900"/>
    <w:rsid w:val="24BC6D9C"/>
    <w:rsid w:val="24F11BF1"/>
    <w:rsid w:val="24F305B1"/>
    <w:rsid w:val="24F67C29"/>
    <w:rsid w:val="251B1408"/>
    <w:rsid w:val="2520145D"/>
    <w:rsid w:val="252407CC"/>
    <w:rsid w:val="252F6068"/>
    <w:rsid w:val="256020CB"/>
    <w:rsid w:val="256753CD"/>
    <w:rsid w:val="257859AF"/>
    <w:rsid w:val="259958B9"/>
    <w:rsid w:val="25A77231"/>
    <w:rsid w:val="25D91208"/>
    <w:rsid w:val="261C7313"/>
    <w:rsid w:val="263E5DBC"/>
    <w:rsid w:val="26662D41"/>
    <w:rsid w:val="267D631D"/>
    <w:rsid w:val="26897195"/>
    <w:rsid w:val="26967006"/>
    <w:rsid w:val="26BB2A7F"/>
    <w:rsid w:val="26C27826"/>
    <w:rsid w:val="26DA6CCA"/>
    <w:rsid w:val="26E12FFE"/>
    <w:rsid w:val="26EC2B95"/>
    <w:rsid w:val="26ED34FC"/>
    <w:rsid w:val="2703276A"/>
    <w:rsid w:val="27073467"/>
    <w:rsid w:val="270D3319"/>
    <w:rsid w:val="27326424"/>
    <w:rsid w:val="27394BC2"/>
    <w:rsid w:val="2762030B"/>
    <w:rsid w:val="27972DE6"/>
    <w:rsid w:val="27AD517A"/>
    <w:rsid w:val="27B3177C"/>
    <w:rsid w:val="27BB37EC"/>
    <w:rsid w:val="27C76BD3"/>
    <w:rsid w:val="27CC559D"/>
    <w:rsid w:val="27EB1F26"/>
    <w:rsid w:val="282157D0"/>
    <w:rsid w:val="283D44CE"/>
    <w:rsid w:val="2845744F"/>
    <w:rsid w:val="287946A7"/>
    <w:rsid w:val="287D1EE8"/>
    <w:rsid w:val="288B7422"/>
    <w:rsid w:val="28BF362F"/>
    <w:rsid w:val="28CD4C95"/>
    <w:rsid w:val="28D76BDE"/>
    <w:rsid w:val="28DD5A11"/>
    <w:rsid w:val="28DE0072"/>
    <w:rsid w:val="28F37E78"/>
    <w:rsid w:val="2915043A"/>
    <w:rsid w:val="292435F9"/>
    <w:rsid w:val="293C5648"/>
    <w:rsid w:val="29412C2C"/>
    <w:rsid w:val="2943262C"/>
    <w:rsid w:val="29673A90"/>
    <w:rsid w:val="29732B97"/>
    <w:rsid w:val="2976379B"/>
    <w:rsid w:val="297678B5"/>
    <w:rsid w:val="29832F79"/>
    <w:rsid w:val="2994307E"/>
    <w:rsid w:val="29A3655D"/>
    <w:rsid w:val="29AF54B8"/>
    <w:rsid w:val="29C33DB8"/>
    <w:rsid w:val="29C93557"/>
    <w:rsid w:val="29E64F92"/>
    <w:rsid w:val="2A3048D8"/>
    <w:rsid w:val="2A32173C"/>
    <w:rsid w:val="2A5651BE"/>
    <w:rsid w:val="2A6E3F24"/>
    <w:rsid w:val="2A82256A"/>
    <w:rsid w:val="2AA616E0"/>
    <w:rsid w:val="2ADF2DD5"/>
    <w:rsid w:val="2AED37C8"/>
    <w:rsid w:val="2B005B67"/>
    <w:rsid w:val="2B024BE2"/>
    <w:rsid w:val="2B4B446E"/>
    <w:rsid w:val="2B671819"/>
    <w:rsid w:val="2BA3087E"/>
    <w:rsid w:val="2BCF779E"/>
    <w:rsid w:val="2BD10403"/>
    <w:rsid w:val="2BDA3F71"/>
    <w:rsid w:val="2BE20AFC"/>
    <w:rsid w:val="2BE703CF"/>
    <w:rsid w:val="2BEA0158"/>
    <w:rsid w:val="2BF03A37"/>
    <w:rsid w:val="2BFD08DF"/>
    <w:rsid w:val="2C112450"/>
    <w:rsid w:val="2C33208D"/>
    <w:rsid w:val="2C517089"/>
    <w:rsid w:val="2C57783C"/>
    <w:rsid w:val="2C6C797F"/>
    <w:rsid w:val="2CB44170"/>
    <w:rsid w:val="2CE459AE"/>
    <w:rsid w:val="2CF35F34"/>
    <w:rsid w:val="2D05030E"/>
    <w:rsid w:val="2D2A3BD6"/>
    <w:rsid w:val="2D492C6F"/>
    <w:rsid w:val="2D787BC5"/>
    <w:rsid w:val="2D8E2CFF"/>
    <w:rsid w:val="2DAB2A07"/>
    <w:rsid w:val="2DDC1CA2"/>
    <w:rsid w:val="2DE629D9"/>
    <w:rsid w:val="2DF56887"/>
    <w:rsid w:val="2E05495F"/>
    <w:rsid w:val="2E59138B"/>
    <w:rsid w:val="2E7218E0"/>
    <w:rsid w:val="2E8B396A"/>
    <w:rsid w:val="2E990B07"/>
    <w:rsid w:val="2EAF2C49"/>
    <w:rsid w:val="2EC2593B"/>
    <w:rsid w:val="2EEB4C33"/>
    <w:rsid w:val="2F016720"/>
    <w:rsid w:val="2F0D32C9"/>
    <w:rsid w:val="2F1848CA"/>
    <w:rsid w:val="2F2A3BC6"/>
    <w:rsid w:val="2F5632A4"/>
    <w:rsid w:val="2F5A1AB0"/>
    <w:rsid w:val="2F5C0AED"/>
    <w:rsid w:val="2F77273B"/>
    <w:rsid w:val="2F7876C7"/>
    <w:rsid w:val="2F9A20FA"/>
    <w:rsid w:val="2FA518B8"/>
    <w:rsid w:val="2FBD7A13"/>
    <w:rsid w:val="300B5DB8"/>
    <w:rsid w:val="30156E5B"/>
    <w:rsid w:val="301A5EE8"/>
    <w:rsid w:val="301C5F3F"/>
    <w:rsid w:val="30253176"/>
    <w:rsid w:val="30683FAE"/>
    <w:rsid w:val="308438DA"/>
    <w:rsid w:val="30A67DC5"/>
    <w:rsid w:val="30D438A6"/>
    <w:rsid w:val="31115890"/>
    <w:rsid w:val="31273DF1"/>
    <w:rsid w:val="31292481"/>
    <w:rsid w:val="314519AD"/>
    <w:rsid w:val="316644A7"/>
    <w:rsid w:val="317039DD"/>
    <w:rsid w:val="31876182"/>
    <w:rsid w:val="319F7580"/>
    <w:rsid w:val="31E401DE"/>
    <w:rsid w:val="3207769F"/>
    <w:rsid w:val="320B1741"/>
    <w:rsid w:val="321212DD"/>
    <w:rsid w:val="322A7D59"/>
    <w:rsid w:val="32604326"/>
    <w:rsid w:val="326163E3"/>
    <w:rsid w:val="329704B1"/>
    <w:rsid w:val="32BE07FD"/>
    <w:rsid w:val="32CC3469"/>
    <w:rsid w:val="32CE47C7"/>
    <w:rsid w:val="32CF5BC1"/>
    <w:rsid w:val="3314247B"/>
    <w:rsid w:val="332A0B2B"/>
    <w:rsid w:val="3377748D"/>
    <w:rsid w:val="338403F7"/>
    <w:rsid w:val="33A60C3D"/>
    <w:rsid w:val="33AA3A36"/>
    <w:rsid w:val="33AD38B5"/>
    <w:rsid w:val="33D12E98"/>
    <w:rsid w:val="33F8295B"/>
    <w:rsid w:val="34187A86"/>
    <w:rsid w:val="341909C4"/>
    <w:rsid w:val="341D3E16"/>
    <w:rsid w:val="343068C7"/>
    <w:rsid w:val="34394188"/>
    <w:rsid w:val="34440290"/>
    <w:rsid w:val="34521EEB"/>
    <w:rsid w:val="3454466B"/>
    <w:rsid w:val="34700596"/>
    <w:rsid w:val="34744044"/>
    <w:rsid w:val="348A6FBD"/>
    <w:rsid w:val="34CB1762"/>
    <w:rsid w:val="34F73287"/>
    <w:rsid w:val="350F2889"/>
    <w:rsid w:val="35154281"/>
    <w:rsid w:val="351A5280"/>
    <w:rsid w:val="35217EFA"/>
    <w:rsid w:val="35254858"/>
    <w:rsid w:val="352B7751"/>
    <w:rsid w:val="353D1EDE"/>
    <w:rsid w:val="35670015"/>
    <w:rsid w:val="35685526"/>
    <w:rsid w:val="35686957"/>
    <w:rsid w:val="35702CB3"/>
    <w:rsid w:val="3585389C"/>
    <w:rsid w:val="35A460E9"/>
    <w:rsid w:val="35B7645A"/>
    <w:rsid w:val="35B86D11"/>
    <w:rsid w:val="35B91782"/>
    <w:rsid w:val="35C46187"/>
    <w:rsid w:val="35D20074"/>
    <w:rsid w:val="3601719A"/>
    <w:rsid w:val="363A37E7"/>
    <w:rsid w:val="363F3BA9"/>
    <w:rsid w:val="3643261C"/>
    <w:rsid w:val="3647401C"/>
    <w:rsid w:val="3675727A"/>
    <w:rsid w:val="367B7189"/>
    <w:rsid w:val="36931366"/>
    <w:rsid w:val="36B3109A"/>
    <w:rsid w:val="36B75CE5"/>
    <w:rsid w:val="37101867"/>
    <w:rsid w:val="371415F8"/>
    <w:rsid w:val="37673894"/>
    <w:rsid w:val="37846B9A"/>
    <w:rsid w:val="37857D49"/>
    <w:rsid w:val="378B7329"/>
    <w:rsid w:val="378C5511"/>
    <w:rsid w:val="37927590"/>
    <w:rsid w:val="37A8436D"/>
    <w:rsid w:val="37B4597D"/>
    <w:rsid w:val="37C31AC3"/>
    <w:rsid w:val="37C4756A"/>
    <w:rsid w:val="37C72047"/>
    <w:rsid w:val="37D10F9D"/>
    <w:rsid w:val="37D37BB2"/>
    <w:rsid w:val="37F356A9"/>
    <w:rsid w:val="38192147"/>
    <w:rsid w:val="38B30F97"/>
    <w:rsid w:val="38BF1FFC"/>
    <w:rsid w:val="38CF6E50"/>
    <w:rsid w:val="38EB69F9"/>
    <w:rsid w:val="38F9608C"/>
    <w:rsid w:val="39141B04"/>
    <w:rsid w:val="39146200"/>
    <w:rsid w:val="39224952"/>
    <w:rsid w:val="39230F3A"/>
    <w:rsid w:val="39390D21"/>
    <w:rsid w:val="393D7D02"/>
    <w:rsid w:val="394A0EC1"/>
    <w:rsid w:val="39921250"/>
    <w:rsid w:val="39995310"/>
    <w:rsid w:val="39AD5737"/>
    <w:rsid w:val="39D96609"/>
    <w:rsid w:val="39EC1624"/>
    <w:rsid w:val="39F36F88"/>
    <w:rsid w:val="3A2A0C08"/>
    <w:rsid w:val="3A7A3B47"/>
    <w:rsid w:val="3A861587"/>
    <w:rsid w:val="3A8946FD"/>
    <w:rsid w:val="3AB8596C"/>
    <w:rsid w:val="3B1A0CA9"/>
    <w:rsid w:val="3B324945"/>
    <w:rsid w:val="3B3E764F"/>
    <w:rsid w:val="3B727AEE"/>
    <w:rsid w:val="3BAE5F44"/>
    <w:rsid w:val="3BD90165"/>
    <w:rsid w:val="3BDB4730"/>
    <w:rsid w:val="3C3E26D3"/>
    <w:rsid w:val="3C4829AA"/>
    <w:rsid w:val="3C540A64"/>
    <w:rsid w:val="3C6C2277"/>
    <w:rsid w:val="3C830F0B"/>
    <w:rsid w:val="3CB15D70"/>
    <w:rsid w:val="3CB33911"/>
    <w:rsid w:val="3CBD5E92"/>
    <w:rsid w:val="3CC607BF"/>
    <w:rsid w:val="3CCC115C"/>
    <w:rsid w:val="3CEA477C"/>
    <w:rsid w:val="3DA477EC"/>
    <w:rsid w:val="3DCA514D"/>
    <w:rsid w:val="3DFB65FB"/>
    <w:rsid w:val="3E0414BD"/>
    <w:rsid w:val="3E2C2EE6"/>
    <w:rsid w:val="3E47626F"/>
    <w:rsid w:val="3E4E3000"/>
    <w:rsid w:val="3E5968E1"/>
    <w:rsid w:val="3E6E7092"/>
    <w:rsid w:val="3E761DAB"/>
    <w:rsid w:val="3E820292"/>
    <w:rsid w:val="3E88791F"/>
    <w:rsid w:val="3E8C4942"/>
    <w:rsid w:val="3E9969C1"/>
    <w:rsid w:val="3E9D7BAE"/>
    <w:rsid w:val="3EAA42D5"/>
    <w:rsid w:val="3EAB725E"/>
    <w:rsid w:val="3EBD54CA"/>
    <w:rsid w:val="3F360800"/>
    <w:rsid w:val="3F6667ED"/>
    <w:rsid w:val="3F7531D7"/>
    <w:rsid w:val="3F754F19"/>
    <w:rsid w:val="3F7A2EA7"/>
    <w:rsid w:val="3F8B561D"/>
    <w:rsid w:val="3FDF5DA0"/>
    <w:rsid w:val="3FFE7A64"/>
    <w:rsid w:val="40425C45"/>
    <w:rsid w:val="40480B59"/>
    <w:rsid w:val="404F3B64"/>
    <w:rsid w:val="404F4B1C"/>
    <w:rsid w:val="405A79FA"/>
    <w:rsid w:val="40627EA5"/>
    <w:rsid w:val="4074000E"/>
    <w:rsid w:val="40935DBF"/>
    <w:rsid w:val="40B51359"/>
    <w:rsid w:val="40D14886"/>
    <w:rsid w:val="40E31758"/>
    <w:rsid w:val="40EC77C0"/>
    <w:rsid w:val="41055635"/>
    <w:rsid w:val="4110473C"/>
    <w:rsid w:val="411914CE"/>
    <w:rsid w:val="413277CB"/>
    <w:rsid w:val="414E01FC"/>
    <w:rsid w:val="415D3D63"/>
    <w:rsid w:val="416009E4"/>
    <w:rsid w:val="4186602F"/>
    <w:rsid w:val="419470DB"/>
    <w:rsid w:val="41A24DEA"/>
    <w:rsid w:val="41B459F9"/>
    <w:rsid w:val="41F96B04"/>
    <w:rsid w:val="42225567"/>
    <w:rsid w:val="42324A35"/>
    <w:rsid w:val="425169CA"/>
    <w:rsid w:val="42680CCB"/>
    <w:rsid w:val="426C0A83"/>
    <w:rsid w:val="427D2F87"/>
    <w:rsid w:val="42854444"/>
    <w:rsid w:val="42A56104"/>
    <w:rsid w:val="42A65015"/>
    <w:rsid w:val="42B10636"/>
    <w:rsid w:val="42C07BDC"/>
    <w:rsid w:val="42C27F52"/>
    <w:rsid w:val="4318359C"/>
    <w:rsid w:val="431F7916"/>
    <w:rsid w:val="432766DE"/>
    <w:rsid w:val="438F02AE"/>
    <w:rsid w:val="439778ED"/>
    <w:rsid w:val="439D3608"/>
    <w:rsid w:val="43CA4BB4"/>
    <w:rsid w:val="43D50CBF"/>
    <w:rsid w:val="43D84337"/>
    <w:rsid w:val="43E55538"/>
    <w:rsid w:val="43F737CA"/>
    <w:rsid w:val="4405573A"/>
    <w:rsid w:val="440A60B2"/>
    <w:rsid w:val="44303D0A"/>
    <w:rsid w:val="443A036B"/>
    <w:rsid w:val="444254AC"/>
    <w:rsid w:val="445B7804"/>
    <w:rsid w:val="44605828"/>
    <w:rsid w:val="446A7047"/>
    <w:rsid w:val="447806E4"/>
    <w:rsid w:val="449063B9"/>
    <w:rsid w:val="44A16E10"/>
    <w:rsid w:val="44A348C3"/>
    <w:rsid w:val="44D35855"/>
    <w:rsid w:val="44DB0A58"/>
    <w:rsid w:val="44DC4156"/>
    <w:rsid w:val="44DF6774"/>
    <w:rsid w:val="44EF6CC8"/>
    <w:rsid w:val="45212C53"/>
    <w:rsid w:val="45303C01"/>
    <w:rsid w:val="45320756"/>
    <w:rsid w:val="458123AC"/>
    <w:rsid w:val="459F6D61"/>
    <w:rsid w:val="45A252C3"/>
    <w:rsid w:val="45AA0FF1"/>
    <w:rsid w:val="45DD1D96"/>
    <w:rsid w:val="461F03C2"/>
    <w:rsid w:val="462C25F1"/>
    <w:rsid w:val="462C68D6"/>
    <w:rsid w:val="464A0B20"/>
    <w:rsid w:val="465805F7"/>
    <w:rsid w:val="46585082"/>
    <w:rsid w:val="46632862"/>
    <w:rsid w:val="46755CFC"/>
    <w:rsid w:val="467E0C99"/>
    <w:rsid w:val="46AD73C2"/>
    <w:rsid w:val="46C90B21"/>
    <w:rsid w:val="46F75FCB"/>
    <w:rsid w:val="470177A6"/>
    <w:rsid w:val="473401AA"/>
    <w:rsid w:val="47484F18"/>
    <w:rsid w:val="47603664"/>
    <w:rsid w:val="47962410"/>
    <w:rsid w:val="47C36755"/>
    <w:rsid w:val="47CB2F7A"/>
    <w:rsid w:val="47DB1D81"/>
    <w:rsid w:val="47DF72B0"/>
    <w:rsid w:val="47F87750"/>
    <w:rsid w:val="480D68C9"/>
    <w:rsid w:val="48507049"/>
    <w:rsid w:val="486847C7"/>
    <w:rsid w:val="487E201D"/>
    <w:rsid w:val="48874D9F"/>
    <w:rsid w:val="48907CB1"/>
    <w:rsid w:val="48966E9E"/>
    <w:rsid w:val="48982335"/>
    <w:rsid w:val="489917B6"/>
    <w:rsid w:val="48AD1657"/>
    <w:rsid w:val="48B06318"/>
    <w:rsid w:val="48C22461"/>
    <w:rsid w:val="48C579B5"/>
    <w:rsid w:val="48EC135D"/>
    <w:rsid w:val="490219DC"/>
    <w:rsid w:val="495F58B0"/>
    <w:rsid w:val="49691F67"/>
    <w:rsid w:val="49712FB7"/>
    <w:rsid w:val="49812068"/>
    <w:rsid w:val="499540CE"/>
    <w:rsid w:val="4A094482"/>
    <w:rsid w:val="4A0A5165"/>
    <w:rsid w:val="4A233D86"/>
    <w:rsid w:val="4A371627"/>
    <w:rsid w:val="4A467BE5"/>
    <w:rsid w:val="4A473BD2"/>
    <w:rsid w:val="4A690F35"/>
    <w:rsid w:val="4A7F6A4E"/>
    <w:rsid w:val="4A8A42BD"/>
    <w:rsid w:val="4A92309B"/>
    <w:rsid w:val="4ABC1E0F"/>
    <w:rsid w:val="4ACB77A3"/>
    <w:rsid w:val="4AE46B51"/>
    <w:rsid w:val="4B14006C"/>
    <w:rsid w:val="4B193622"/>
    <w:rsid w:val="4B3947ED"/>
    <w:rsid w:val="4B6D2D0D"/>
    <w:rsid w:val="4B87139D"/>
    <w:rsid w:val="4B911138"/>
    <w:rsid w:val="4BAA12CC"/>
    <w:rsid w:val="4BB05489"/>
    <w:rsid w:val="4BC4227B"/>
    <w:rsid w:val="4BE86427"/>
    <w:rsid w:val="4BED6FE2"/>
    <w:rsid w:val="4C091DE6"/>
    <w:rsid w:val="4C304481"/>
    <w:rsid w:val="4C4966B6"/>
    <w:rsid w:val="4C6960A2"/>
    <w:rsid w:val="4C6A7A2D"/>
    <w:rsid w:val="4C797A26"/>
    <w:rsid w:val="4CC96A7C"/>
    <w:rsid w:val="4CC96FBD"/>
    <w:rsid w:val="4CE30A60"/>
    <w:rsid w:val="4CEF425E"/>
    <w:rsid w:val="4CFB1441"/>
    <w:rsid w:val="4D14517D"/>
    <w:rsid w:val="4D245B13"/>
    <w:rsid w:val="4D5D1AF0"/>
    <w:rsid w:val="4D6122D2"/>
    <w:rsid w:val="4D6A67DE"/>
    <w:rsid w:val="4D922A31"/>
    <w:rsid w:val="4DAE7640"/>
    <w:rsid w:val="4DB41099"/>
    <w:rsid w:val="4DC7644D"/>
    <w:rsid w:val="4E3953B4"/>
    <w:rsid w:val="4E433E0B"/>
    <w:rsid w:val="4E556308"/>
    <w:rsid w:val="4E6A1FBF"/>
    <w:rsid w:val="4EAC212A"/>
    <w:rsid w:val="4EB774AF"/>
    <w:rsid w:val="4EDE24DE"/>
    <w:rsid w:val="4F1E5499"/>
    <w:rsid w:val="4F291120"/>
    <w:rsid w:val="4F413275"/>
    <w:rsid w:val="4F5826C3"/>
    <w:rsid w:val="4F9E2FF8"/>
    <w:rsid w:val="4FA578EF"/>
    <w:rsid w:val="4FC66B4F"/>
    <w:rsid w:val="4FC6760E"/>
    <w:rsid w:val="4FE8743F"/>
    <w:rsid w:val="4FFC2AF2"/>
    <w:rsid w:val="50016BC6"/>
    <w:rsid w:val="50213AB9"/>
    <w:rsid w:val="503D0653"/>
    <w:rsid w:val="50792360"/>
    <w:rsid w:val="50951C1D"/>
    <w:rsid w:val="50D457E8"/>
    <w:rsid w:val="50DB1A43"/>
    <w:rsid w:val="50DC603A"/>
    <w:rsid w:val="50DF04F8"/>
    <w:rsid w:val="50F97739"/>
    <w:rsid w:val="51042804"/>
    <w:rsid w:val="51424426"/>
    <w:rsid w:val="516720FF"/>
    <w:rsid w:val="516E477F"/>
    <w:rsid w:val="51AD08B7"/>
    <w:rsid w:val="51C23E52"/>
    <w:rsid w:val="51D768B3"/>
    <w:rsid w:val="5206727E"/>
    <w:rsid w:val="521F5C64"/>
    <w:rsid w:val="52280B1A"/>
    <w:rsid w:val="52311CDA"/>
    <w:rsid w:val="5267521F"/>
    <w:rsid w:val="52806025"/>
    <w:rsid w:val="52823B3C"/>
    <w:rsid w:val="52852ADB"/>
    <w:rsid w:val="52A55AA5"/>
    <w:rsid w:val="52A709A8"/>
    <w:rsid w:val="52D224FA"/>
    <w:rsid w:val="52ED330C"/>
    <w:rsid w:val="52F65DC8"/>
    <w:rsid w:val="53230827"/>
    <w:rsid w:val="53326256"/>
    <w:rsid w:val="539E5C52"/>
    <w:rsid w:val="53C83F0C"/>
    <w:rsid w:val="53CE7BAE"/>
    <w:rsid w:val="54265EB5"/>
    <w:rsid w:val="54290A41"/>
    <w:rsid w:val="542B1C23"/>
    <w:rsid w:val="54376183"/>
    <w:rsid w:val="549A7CFA"/>
    <w:rsid w:val="54B53CDE"/>
    <w:rsid w:val="54FD23D4"/>
    <w:rsid w:val="550F2BF5"/>
    <w:rsid w:val="55302C62"/>
    <w:rsid w:val="55337AC0"/>
    <w:rsid w:val="553C3FF0"/>
    <w:rsid w:val="55572540"/>
    <w:rsid w:val="55585A08"/>
    <w:rsid w:val="555D2279"/>
    <w:rsid w:val="55674FAA"/>
    <w:rsid w:val="556B0971"/>
    <w:rsid w:val="557258D8"/>
    <w:rsid w:val="55760B01"/>
    <w:rsid w:val="5579652F"/>
    <w:rsid w:val="55CD2ED1"/>
    <w:rsid w:val="560A0912"/>
    <w:rsid w:val="563A350C"/>
    <w:rsid w:val="564D5BE3"/>
    <w:rsid w:val="56821B56"/>
    <w:rsid w:val="56843566"/>
    <w:rsid w:val="56D2320D"/>
    <w:rsid w:val="56F17C5E"/>
    <w:rsid w:val="56FC144E"/>
    <w:rsid w:val="5706090B"/>
    <w:rsid w:val="571611D1"/>
    <w:rsid w:val="571C1647"/>
    <w:rsid w:val="57511A67"/>
    <w:rsid w:val="575372A4"/>
    <w:rsid w:val="578B1607"/>
    <w:rsid w:val="57A5175C"/>
    <w:rsid w:val="57C308AA"/>
    <w:rsid w:val="57DD3525"/>
    <w:rsid w:val="57EA57F5"/>
    <w:rsid w:val="57EC5852"/>
    <w:rsid w:val="58173CB8"/>
    <w:rsid w:val="584075B5"/>
    <w:rsid w:val="58615A70"/>
    <w:rsid w:val="588E402A"/>
    <w:rsid w:val="58D31DB5"/>
    <w:rsid w:val="58DC4871"/>
    <w:rsid w:val="58E64B80"/>
    <w:rsid w:val="58E73BCA"/>
    <w:rsid w:val="58F5461F"/>
    <w:rsid w:val="58FD0FD3"/>
    <w:rsid w:val="59143C78"/>
    <w:rsid w:val="5920394F"/>
    <w:rsid w:val="59613644"/>
    <w:rsid w:val="59910DE4"/>
    <w:rsid w:val="59D16427"/>
    <w:rsid w:val="59E26C60"/>
    <w:rsid w:val="5A1B05E0"/>
    <w:rsid w:val="5A4341CF"/>
    <w:rsid w:val="5A5A463A"/>
    <w:rsid w:val="5A65617B"/>
    <w:rsid w:val="5A7871A9"/>
    <w:rsid w:val="5A7B29A2"/>
    <w:rsid w:val="5A7C5D14"/>
    <w:rsid w:val="5A8A1032"/>
    <w:rsid w:val="5A8B3745"/>
    <w:rsid w:val="5AB377A8"/>
    <w:rsid w:val="5ABE63E5"/>
    <w:rsid w:val="5AC460D0"/>
    <w:rsid w:val="5AD757B7"/>
    <w:rsid w:val="5AE464D4"/>
    <w:rsid w:val="5B231ED3"/>
    <w:rsid w:val="5B5B7A68"/>
    <w:rsid w:val="5B612AFA"/>
    <w:rsid w:val="5B6D3AF1"/>
    <w:rsid w:val="5B7040B8"/>
    <w:rsid w:val="5B870AA1"/>
    <w:rsid w:val="5B9E2668"/>
    <w:rsid w:val="5B9E3920"/>
    <w:rsid w:val="5BA300DD"/>
    <w:rsid w:val="5BB651EC"/>
    <w:rsid w:val="5BBA3F9F"/>
    <w:rsid w:val="5BBB4A37"/>
    <w:rsid w:val="5BC04A1C"/>
    <w:rsid w:val="5BC624CC"/>
    <w:rsid w:val="5BC8175A"/>
    <w:rsid w:val="5BEB4D4F"/>
    <w:rsid w:val="5BEC79CC"/>
    <w:rsid w:val="5C047F26"/>
    <w:rsid w:val="5C2E7EA5"/>
    <w:rsid w:val="5C3547B6"/>
    <w:rsid w:val="5C5E11E1"/>
    <w:rsid w:val="5C6E0E80"/>
    <w:rsid w:val="5C7E423C"/>
    <w:rsid w:val="5C92662E"/>
    <w:rsid w:val="5CD9479B"/>
    <w:rsid w:val="5CFF3A12"/>
    <w:rsid w:val="5D0B76DD"/>
    <w:rsid w:val="5D2D706C"/>
    <w:rsid w:val="5D311701"/>
    <w:rsid w:val="5D646659"/>
    <w:rsid w:val="5D8C7444"/>
    <w:rsid w:val="5DAD3456"/>
    <w:rsid w:val="5DBA0BAA"/>
    <w:rsid w:val="5DC02697"/>
    <w:rsid w:val="5DD44945"/>
    <w:rsid w:val="5DE802AE"/>
    <w:rsid w:val="5E030E12"/>
    <w:rsid w:val="5E03565A"/>
    <w:rsid w:val="5E065096"/>
    <w:rsid w:val="5E2E2387"/>
    <w:rsid w:val="5E3C7BC3"/>
    <w:rsid w:val="5E642BEE"/>
    <w:rsid w:val="5E8D3968"/>
    <w:rsid w:val="5EA35664"/>
    <w:rsid w:val="5EA767D4"/>
    <w:rsid w:val="5EC611AF"/>
    <w:rsid w:val="5EE676A6"/>
    <w:rsid w:val="5EED60BB"/>
    <w:rsid w:val="5F0C2655"/>
    <w:rsid w:val="5F1A12A7"/>
    <w:rsid w:val="5F36585F"/>
    <w:rsid w:val="5F397ED6"/>
    <w:rsid w:val="5F6C2CC1"/>
    <w:rsid w:val="5F717444"/>
    <w:rsid w:val="5F763A7A"/>
    <w:rsid w:val="5F940A34"/>
    <w:rsid w:val="5F971BA8"/>
    <w:rsid w:val="5F994AD8"/>
    <w:rsid w:val="5FA0681B"/>
    <w:rsid w:val="5FBF4F1F"/>
    <w:rsid w:val="5FCC452D"/>
    <w:rsid w:val="5FCF6DF0"/>
    <w:rsid w:val="5FDE48B5"/>
    <w:rsid w:val="5FE93F00"/>
    <w:rsid w:val="60040AA9"/>
    <w:rsid w:val="60070917"/>
    <w:rsid w:val="6010503F"/>
    <w:rsid w:val="601D656F"/>
    <w:rsid w:val="60330C34"/>
    <w:rsid w:val="60497FB9"/>
    <w:rsid w:val="606D5C20"/>
    <w:rsid w:val="606E4510"/>
    <w:rsid w:val="60777A42"/>
    <w:rsid w:val="60995B1D"/>
    <w:rsid w:val="60EB5037"/>
    <w:rsid w:val="61360947"/>
    <w:rsid w:val="61360E99"/>
    <w:rsid w:val="615F42D6"/>
    <w:rsid w:val="617A6AD8"/>
    <w:rsid w:val="618617FC"/>
    <w:rsid w:val="61A570BC"/>
    <w:rsid w:val="61A84CB1"/>
    <w:rsid w:val="61B43FA8"/>
    <w:rsid w:val="61C56443"/>
    <w:rsid w:val="61CA03FC"/>
    <w:rsid w:val="61CA4C10"/>
    <w:rsid w:val="61D76A28"/>
    <w:rsid w:val="61FC5ECD"/>
    <w:rsid w:val="62481D8E"/>
    <w:rsid w:val="627C0859"/>
    <w:rsid w:val="6289016C"/>
    <w:rsid w:val="628F0F3E"/>
    <w:rsid w:val="629821F4"/>
    <w:rsid w:val="629C6518"/>
    <w:rsid w:val="62BC698E"/>
    <w:rsid w:val="62C25C0C"/>
    <w:rsid w:val="62C9075B"/>
    <w:rsid w:val="63096BCD"/>
    <w:rsid w:val="631A59E9"/>
    <w:rsid w:val="633E38CC"/>
    <w:rsid w:val="635B283B"/>
    <w:rsid w:val="63612906"/>
    <w:rsid w:val="6361372A"/>
    <w:rsid w:val="636778DC"/>
    <w:rsid w:val="639433D8"/>
    <w:rsid w:val="63A9074A"/>
    <w:rsid w:val="63D82C71"/>
    <w:rsid w:val="63EF3FDC"/>
    <w:rsid w:val="63F4318A"/>
    <w:rsid w:val="640A096D"/>
    <w:rsid w:val="641938CD"/>
    <w:rsid w:val="641A4289"/>
    <w:rsid w:val="643B44EE"/>
    <w:rsid w:val="643F321F"/>
    <w:rsid w:val="644222AC"/>
    <w:rsid w:val="647A00FA"/>
    <w:rsid w:val="64AD6316"/>
    <w:rsid w:val="64B54927"/>
    <w:rsid w:val="64CA09DE"/>
    <w:rsid w:val="64D91595"/>
    <w:rsid w:val="64E9591F"/>
    <w:rsid w:val="6514683E"/>
    <w:rsid w:val="651D164D"/>
    <w:rsid w:val="651F3095"/>
    <w:rsid w:val="654B4692"/>
    <w:rsid w:val="655F6846"/>
    <w:rsid w:val="658208B2"/>
    <w:rsid w:val="658237C2"/>
    <w:rsid w:val="65950903"/>
    <w:rsid w:val="65B26D89"/>
    <w:rsid w:val="65EE49A2"/>
    <w:rsid w:val="661D55A5"/>
    <w:rsid w:val="66380F48"/>
    <w:rsid w:val="663C2619"/>
    <w:rsid w:val="664118FF"/>
    <w:rsid w:val="667573F1"/>
    <w:rsid w:val="667716F2"/>
    <w:rsid w:val="66795579"/>
    <w:rsid w:val="66B92AED"/>
    <w:rsid w:val="66BF4D74"/>
    <w:rsid w:val="66BF5706"/>
    <w:rsid w:val="66E94409"/>
    <w:rsid w:val="670C775B"/>
    <w:rsid w:val="67212645"/>
    <w:rsid w:val="67362184"/>
    <w:rsid w:val="675458DF"/>
    <w:rsid w:val="676F05C0"/>
    <w:rsid w:val="67CA4870"/>
    <w:rsid w:val="67D132E3"/>
    <w:rsid w:val="67D62508"/>
    <w:rsid w:val="67FE36BA"/>
    <w:rsid w:val="6805552E"/>
    <w:rsid w:val="680605EC"/>
    <w:rsid w:val="682315FF"/>
    <w:rsid w:val="68543B23"/>
    <w:rsid w:val="687528AD"/>
    <w:rsid w:val="68996255"/>
    <w:rsid w:val="68DB67D8"/>
    <w:rsid w:val="68FB2C48"/>
    <w:rsid w:val="68FE75A8"/>
    <w:rsid w:val="69185881"/>
    <w:rsid w:val="69196101"/>
    <w:rsid w:val="693F18F5"/>
    <w:rsid w:val="69602951"/>
    <w:rsid w:val="697051FC"/>
    <w:rsid w:val="698B0301"/>
    <w:rsid w:val="69A5645F"/>
    <w:rsid w:val="69E16E1F"/>
    <w:rsid w:val="69E36B89"/>
    <w:rsid w:val="69F55630"/>
    <w:rsid w:val="6A05787F"/>
    <w:rsid w:val="6A3A5CA9"/>
    <w:rsid w:val="6A670D9E"/>
    <w:rsid w:val="6A6746D6"/>
    <w:rsid w:val="6A8504FF"/>
    <w:rsid w:val="6A8B194F"/>
    <w:rsid w:val="6A8C62E5"/>
    <w:rsid w:val="6AC00863"/>
    <w:rsid w:val="6AD5589C"/>
    <w:rsid w:val="6AD81A35"/>
    <w:rsid w:val="6AEE0529"/>
    <w:rsid w:val="6B2337CA"/>
    <w:rsid w:val="6B32198D"/>
    <w:rsid w:val="6B525B3D"/>
    <w:rsid w:val="6B7940E6"/>
    <w:rsid w:val="6B9D3599"/>
    <w:rsid w:val="6BA7611D"/>
    <w:rsid w:val="6BAB65F5"/>
    <w:rsid w:val="6BB24FA5"/>
    <w:rsid w:val="6BD06883"/>
    <w:rsid w:val="6BE22E83"/>
    <w:rsid w:val="6BF81163"/>
    <w:rsid w:val="6C185087"/>
    <w:rsid w:val="6C5A3688"/>
    <w:rsid w:val="6C787D9D"/>
    <w:rsid w:val="6C970327"/>
    <w:rsid w:val="6CE912F5"/>
    <w:rsid w:val="6D0F5F13"/>
    <w:rsid w:val="6D105919"/>
    <w:rsid w:val="6D150E1D"/>
    <w:rsid w:val="6D174322"/>
    <w:rsid w:val="6D255F5D"/>
    <w:rsid w:val="6D2B56B8"/>
    <w:rsid w:val="6D340D75"/>
    <w:rsid w:val="6D5E4D93"/>
    <w:rsid w:val="6D6226BA"/>
    <w:rsid w:val="6D995F74"/>
    <w:rsid w:val="6DA82C7E"/>
    <w:rsid w:val="6DC6730C"/>
    <w:rsid w:val="6DD34C59"/>
    <w:rsid w:val="6DD448AD"/>
    <w:rsid w:val="6DEF1B61"/>
    <w:rsid w:val="6DFD7A69"/>
    <w:rsid w:val="6E4924C8"/>
    <w:rsid w:val="6E5058FF"/>
    <w:rsid w:val="6E575A44"/>
    <w:rsid w:val="6E7A4F1D"/>
    <w:rsid w:val="6E8B730A"/>
    <w:rsid w:val="6EA0132C"/>
    <w:rsid w:val="6EAD160D"/>
    <w:rsid w:val="6EB347EA"/>
    <w:rsid w:val="6EF07671"/>
    <w:rsid w:val="6EFF59CA"/>
    <w:rsid w:val="6F031C6E"/>
    <w:rsid w:val="6F3020F2"/>
    <w:rsid w:val="6F500FC9"/>
    <w:rsid w:val="6F590963"/>
    <w:rsid w:val="6F656B2A"/>
    <w:rsid w:val="6F714668"/>
    <w:rsid w:val="6F7665A0"/>
    <w:rsid w:val="6F7A593F"/>
    <w:rsid w:val="6F80351F"/>
    <w:rsid w:val="6F80406A"/>
    <w:rsid w:val="6F871C38"/>
    <w:rsid w:val="6FD137A4"/>
    <w:rsid w:val="6FE61142"/>
    <w:rsid w:val="6FF310C1"/>
    <w:rsid w:val="6FF44A9C"/>
    <w:rsid w:val="702538B7"/>
    <w:rsid w:val="70435388"/>
    <w:rsid w:val="7060678D"/>
    <w:rsid w:val="70794377"/>
    <w:rsid w:val="711A5B65"/>
    <w:rsid w:val="711D218F"/>
    <w:rsid w:val="712E4D15"/>
    <w:rsid w:val="713E7977"/>
    <w:rsid w:val="71661E86"/>
    <w:rsid w:val="717D6D68"/>
    <w:rsid w:val="71983756"/>
    <w:rsid w:val="71C92A12"/>
    <w:rsid w:val="71DF1E89"/>
    <w:rsid w:val="721554F9"/>
    <w:rsid w:val="72425EFB"/>
    <w:rsid w:val="72514F81"/>
    <w:rsid w:val="72620CAD"/>
    <w:rsid w:val="7263671B"/>
    <w:rsid w:val="72663C92"/>
    <w:rsid w:val="72B34E05"/>
    <w:rsid w:val="72B74996"/>
    <w:rsid w:val="72BD34FF"/>
    <w:rsid w:val="72CF5E49"/>
    <w:rsid w:val="72DA00C9"/>
    <w:rsid w:val="72DE409F"/>
    <w:rsid w:val="72F9456C"/>
    <w:rsid w:val="730616C8"/>
    <w:rsid w:val="73195934"/>
    <w:rsid w:val="731A5131"/>
    <w:rsid w:val="731B493B"/>
    <w:rsid w:val="733B7325"/>
    <w:rsid w:val="73406413"/>
    <w:rsid w:val="73471BB0"/>
    <w:rsid w:val="73A0364C"/>
    <w:rsid w:val="73B467B4"/>
    <w:rsid w:val="73B91281"/>
    <w:rsid w:val="73F15BD1"/>
    <w:rsid w:val="73F91155"/>
    <w:rsid w:val="740B66DE"/>
    <w:rsid w:val="743E785E"/>
    <w:rsid w:val="744F0B5E"/>
    <w:rsid w:val="74623A4F"/>
    <w:rsid w:val="74DA770E"/>
    <w:rsid w:val="74F02488"/>
    <w:rsid w:val="751704DE"/>
    <w:rsid w:val="75343EB8"/>
    <w:rsid w:val="753830E1"/>
    <w:rsid w:val="75667D4C"/>
    <w:rsid w:val="757A4D87"/>
    <w:rsid w:val="75935452"/>
    <w:rsid w:val="76133B44"/>
    <w:rsid w:val="762E29F8"/>
    <w:rsid w:val="764D792F"/>
    <w:rsid w:val="764E34B5"/>
    <w:rsid w:val="76715B15"/>
    <w:rsid w:val="769E7B7E"/>
    <w:rsid w:val="76E126D2"/>
    <w:rsid w:val="76FD16AF"/>
    <w:rsid w:val="77147FA6"/>
    <w:rsid w:val="77267993"/>
    <w:rsid w:val="772E6A2D"/>
    <w:rsid w:val="77686715"/>
    <w:rsid w:val="776E1727"/>
    <w:rsid w:val="779F4693"/>
    <w:rsid w:val="77A31B21"/>
    <w:rsid w:val="77B07669"/>
    <w:rsid w:val="77DB26FD"/>
    <w:rsid w:val="77DE1FE6"/>
    <w:rsid w:val="77EC740D"/>
    <w:rsid w:val="78154A2B"/>
    <w:rsid w:val="782B108E"/>
    <w:rsid w:val="78341E50"/>
    <w:rsid w:val="78601031"/>
    <w:rsid w:val="789A4411"/>
    <w:rsid w:val="78AA7710"/>
    <w:rsid w:val="78CC4D93"/>
    <w:rsid w:val="78E656C8"/>
    <w:rsid w:val="78F50371"/>
    <w:rsid w:val="7915226E"/>
    <w:rsid w:val="79164F77"/>
    <w:rsid w:val="794C7AA7"/>
    <w:rsid w:val="79573EC9"/>
    <w:rsid w:val="79661EDA"/>
    <w:rsid w:val="797D6309"/>
    <w:rsid w:val="798821BE"/>
    <w:rsid w:val="79BF49DD"/>
    <w:rsid w:val="79C5088B"/>
    <w:rsid w:val="79ED082F"/>
    <w:rsid w:val="79FB44EA"/>
    <w:rsid w:val="7A0A2B79"/>
    <w:rsid w:val="7A295B91"/>
    <w:rsid w:val="7A3E30CC"/>
    <w:rsid w:val="7A541C60"/>
    <w:rsid w:val="7AB462D0"/>
    <w:rsid w:val="7AB570F1"/>
    <w:rsid w:val="7ABA0366"/>
    <w:rsid w:val="7AE5114D"/>
    <w:rsid w:val="7B1017EE"/>
    <w:rsid w:val="7B157F44"/>
    <w:rsid w:val="7B320B62"/>
    <w:rsid w:val="7B3F35AA"/>
    <w:rsid w:val="7B6A40C8"/>
    <w:rsid w:val="7B720479"/>
    <w:rsid w:val="7B802203"/>
    <w:rsid w:val="7B8178B7"/>
    <w:rsid w:val="7C081039"/>
    <w:rsid w:val="7C08608C"/>
    <w:rsid w:val="7C0F40C7"/>
    <w:rsid w:val="7C346E76"/>
    <w:rsid w:val="7C3A4A24"/>
    <w:rsid w:val="7C501408"/>
    <w:rsid w:val="7C6B1295"/>
    <w:rsid w:val="7C982102"/>
    <w:rsid w:val="7CB9586A"/>
    <w:rsid w:val="7D1947B6"/>
    <w:rsid w:val="7D3C40A4"/>
    <w:rsid w:val="7D4A49FF"/>
    <w:rsid w:val="7D7A082F"/>
    <w:rsid w:val="7D894C8E"/>
    <w:rsid w:val="7D8A1FB2"/>
    <w:rsid w:val="7D9E00C5"/>
    <w:rsid w:val="7DC94F37"/>
    <w:rsid w:val="7DCE16B4"/>
    <w:rsid w:val="7DD20E1F"/>
    <w:rsid w:val="7E540C56"/>
    <w:rsid w:val="7E6E2C8F"/>
    <w:rsid w:val="7E6F502F"/>
    <w:rsid w:val="7EA4036E"/>
    <w:rsid w:val="7F1E43A9"/>
    <w:rsid w:val="7F394DEA"/>
    <w:rsid w:val="7F3E6B34"/>
    <w:rsid w:val="7F6667DD"/>
    <w:rsid w:val="7F690B2F"/>
    <w:rsid w:val="7F713595"/>
    <w:rsid w:val="7F820A3F"/>
    <w:rsid w:val="7FA77F61"/>
    <w:rsid w:val="7FA8575C"/>
    <w:rsid w:val="7FB33365"/>
    <w:rsid w:val="7FBE5932"/>
    <w:rsid w:val="7FCD52FF"/>
    <w:rsid w:val="7FD63EC7"/>
    <w:rsid w:val="7FDA4EB2"/>
    <w:rsid w:val="7FFF2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eastAsia="宋体"/>
      <w:sz w:val="24"/>
      <w:szCs w:val="24"/>
    </w:rPr>
  </w:style>
  <w:style w:type="character" w:styleId="8">
    <w:name w:val="Strong"/>
    <w:basedOn w:val="7"/>
    <w:qFormat/>
    <w:uiPriority w:val="0"/>
    <w:rPr>
      <w:b/>
      <w:bCs/>
    </w:rPr>
  </w:style>
  <w:style w:type="character" w:styleId="9">
    <w:name w:val="Emphasis"/>
    <w:basedOn w:val="7"/>
    <w:qFormat/>
    <w:uiPriority w:val="0"/>
    <w:rPr>
      <w:i/>
    </w:rPr>
  </w:style>
  <w:style w:type="character" w:customStyle="1" w:styleId="10">
    <w:name w:val="页眉 Char"/>
    <w:basedOn w:val="7"/>
    <w:link w:val="4"/>
    <w:qFormat/>
    <w:uiPriority w:val="0"/>
    <w:rPr>
      <w:rFonts w:eastAsia="仿宋_GB2312"/>
      <w:kern w:val="2"/>
      <w:sz w:val="18"/>
      <w:szCs w:val="18"/>
    </w:rPr>
  </w:style>
  <w:style w:type="paragraph" w:customStyle="1" w:styleId="11">
    <w:name w:val="Body text|1"/>
    <w:basedOn w:val="1"/>
    <w:qFormat/>
    <w:uiPriority w:val="0"/>
    <w:pPr>
      <w:widowControl w:val="0"/>
      <w:adjustRightInd/>
      <w:snapToGrid/>
      <w:spacing w:after="0" w:line="382" w:lineRule="auto"/>
      <w:ind w:firstLine="400"/>
    </w:pPr>
    <w:rPr>
      <w:rFonts w:ascii="宋体" w:hAnsi="宋体" w:eastAsia="宋体" w:cs="宋体"/>
      <w:color w:val="000000"/>
      <w:sz w:val="30"/>
      <w:szCs w:val="30"/>
      <w:lang w:val="zh-TW" w:eastAsia="zh-TW" w:bidi="zh-TW"/>
    </w:rPr>
  </w:style>
  <w:style w:type="paragraph" w:styleId="12">
    <w:name w:val="List Paragraph"/>
    <w:basedOn w:val="1"/>
    <w:qFormat/>
    <w:uiPriority w:val="34"/>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7977</Words>
  <Characters>9561</Characters>
  <Lines>99</Lines>
  <Paragraphs>28</Paragraphs>
  <TotalTime>2</TotalTime>
  <ScaleCrop>false</ScaleCrop>
  <LinksUpToDate>false</LinksUpToDate>
  <CharactersWithSpaces>11203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2022-01-11T07:31:00Z</dcterms:created>
  <dc:creator>Administrator</dc:creator>
  <cp:lastModifiedBy>Miki</cp:lastModifiedBy>
  <dcterms:modified xsi:type="dcterms:W3CDTF">2024-01-05T02:45:17Z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99BABC1F0C884FEABDB68295843E125D_13</vt:lpwstr>
  </property>
</Properties>
</file>